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189" w:tblpY="2"/>
        <w:tblOverlap w:val="never"/>
        <w:tblW w:w="9793" w:type="dxa"/>
        <w:tblBorders>
          <w:top w:val="single" w:sz="8" w:space="0" w:color="CCE0DA"/>
          <w:left w:val="single" w:sz="12" w:space="0" w:color="CCE0DA"/>
          <w:bottom w:val="single" w:sz="12" w:space="0" w:color="CCE0DA"/>
          <w:right w:val="single" w:sz="12" w:space="0" w:color="CCE0DA"/>
          <w:insideH w:val="single" w:sz="8" w:space="0" w:color="CCE0DA"/>
          <w:insideV w:val="single" w:sz="8" w:space="0" w:color="CCE0DA"/>
        </w:tblBorders>
        <w:tblLayout w:type="fixed"/>
        <w:tblCellMar>
          <w:left w:w="0" w:type="dxa"/>
          <w:right w:w="0" w:type="dxa"/>
        </w:tblCellMar>
        <w:tblLook w:val="01E0" w:firstRow="1" w:lastRow="1" w:firstColumn="1" w:lastColumn="1" w:noHBand="0" w:noVBand="0"/>
      </w:tblPr>
      <w:tblGrid>
        <w:gridCol w:w="2847"/>
        <w:gridCol w:w="6946"/>
      </w:tblGrid>
      <w:tr w:rsidR="008414DA" w:rsidRPr="009469BE" w14:paraId="065DEEA6" w14:textId="77777777" w:rsidTr="19B42FC3">
        <w:trPr>
          <w:trHeight w:val="1429"/>
        </w:trPr>
        <w:tc>
          <w:tcPr>
            <w:tcW w:w="9793" w:type="dxa"/>
            <w:gridSpan w:val="2"/>
            <w:tcBorders>
              <w:left w:val="single" w:sz="8" w:space="0" w:color="CCE0DA"/>
              <w:right w:val="single" w:sz="8" w:space="0" w:color="CCE0DA"/>
            </w:tcBorders>
            <w:shd w:val="clear" w:color="auto" w:fill="5B9BD5" w:themeFill="accent5"/>
            <w:vAlign w:val="center"/>
          </w:tcPr>
          <w:p w14:paraId="0755EC7B" w14:textId="7D5A8E18" w:rsidR="008414DA" w:rsidRPr="00C72CB7" w:rsidRDefault="00560C39" w:rsidP="00917B93">
            <w:pPr>
              <w:pStyle w:val="TableHeading"/>
              <w:spacing w:before="120" w:after="120"/>
              <w:jc w:val="center"/>
              <w:rPr>
                <w:rFonts w:ascii="Arial" w:hAnsi="Arial"/>
                <w:b/>
                <w:bCs/>
                <w:color w:val="FFFFFF" w:themeColor="background1"/>
                <w:sz w:val="28"/>
                <w:szCs w:val="28"/>
              </w:rPr>
            </w:pPr>
            <w:bookmarkStart w:id="0" w:name="_GoBack"/>
            <w:bookmarkEnd w:id="0"/>
            <w:r>
              <w:rPr>
                <w:rFonts w:ascii="Arial" w:hAnsi="Arial"/>
                <w:b/>
                <w:bCs/>
                <w:color w:val="FFFFFF" w:themeColor="background1"/>
                <w:sz w:val="28"/>
                <w:szCs w:val="28"/>
              </w:rPr>
              <w:t>Response to preliminary consultation on EU Commission Regulation 2017/460 (EU Tariff Code)</w:t>
            </w:r>
          </w:p>
        </w:tc>
      </w:tr>
      <w:tr w:rsidR="008414DA" w:rsidRPr="009469BE" w14:paraId="28F28703" w14:textId="77777777" w:rsidTr="19B42FC3">
        <w:tc>
          <w:tcPr>
            <w:tcW w:w="9793" w:type="dxa"/>
            <w:gridSpan w:val="2"/>
            <w:tcBorders>
              <w:top w:val="single" w:sz="8" w:space="0" w:color="CCE0DA"/>
              <w:left w:val="single" w:sz="8" w:space="0" w:color="CCE0DA"/>
              <w:bottom w:val="single" w:sz="8" w:space="0" w:color="CCE0DA"/>
            </w:tcBorders>
          </w:tcPr>
          <w:p w14:paraId="5C99001D" w14:textId="68F0CE2C" w:rsidR="00A66897" w:rsidRPr="00D5375B" w:rsidRDefault="152624D1" w:rsidP="152624D1">
            <w:pPr>
              <w:pStyle w:val="Tablesubheading"/>
              <w:spacing w:before="120" w:after="120"/>
              <w:ind w:left="57" w:right="57"/>
              <w:jc w:val="center"/>
              <w:rPr>
                <w:rFonts w:ascii="Arial" w:hAnsi="Arial"/>
                <w:b/>
                <w:bCs/>
                <w:color w:val="5B9AD5"/>
              </w:rPr>
            </w:pPr>
            <w:r w:rsidRPr="152624D1">
              <w:rPr>
                <w:rFonts w:ascii="Arial" w:hAnsi="Arial"/>
                <w:b/>
                <w:bCs/>
                <w:color w:val="5B9AD5"/>
                <w:sz w:val="24"/>
                <w:lang w:eastAsia="en-US"/>
              </w:rPr>
              <w:t>Responses invited by: 5pm on 08 May 2019</w:t>
            </w:r>
          </w:p>
          <w:p w14:paraId="3AEBCBA9" w14:textId="022D0D05" w:rsidR="19B42FC3" w:rsidRDefault="19B42FC3" w:rsidP="19B42FC3">
            <w:pPr>
              <w:pStyle w:val="Tablesubheading"/>
              <w:spacing w:before="0" w:after="120"/>
              <w:ind w:left="57" w:right="57"/>
              <w:jc w:val="center"/>
              <w:rPr>
                <w:rFonts w:ascii="Arial" w:hAnsi="Arial"/>
                <w:b/>
                <w:bCs/>
                <w:color w:val="5B9AD5"/>
                <w:sz w:val="24"/>
                <w:lang w:eastAsia="en-US"/>
              </w:rPr>
            </w:pPr>
            <w:r w:rsidRPr="19B42FC3">
              <w:rPr>
                <w:rFonts w:ascii="Arial" w:hAnsi="Arial"/>
                <w:b/>
                <w:bCs/>
                <w:color w:val="5B9AD5"/>
                <w:sz w:val="24"/>
                <w:lang w:eastAsia="en-US"/>
              </w:rPr>
              <w:t xml:space="preserve">To: </w:t>
            </w:r>
            <w:hyperlink r:id="rId8">
              <w:r w:rsidRPr="19B42FC3">
                <w:rPr>
                  <w:rStyle w:val="Hyperlink"/>
                  <w:rFonts w:ascii="Calibri" w:eastAsia="Calibri" w:hAnsi="Calibri" w:cs="Calibri"/>
                  <w:sz w:val="22"/>
                  <w:szCs w:val="22"/>
                </w:rPr>
                <w:t>box.transmissioncapacityandcharging@nationalgrid.com</w:t>
              </w:r>
            </w:hyperlink>
          </w:p>
          <w:p w14:paraId="4206D7C4" w14:textId="77777777" w:rsidR="007F03A5" w:rsidRDefault="152624D1" w:rsidP="152624D1">
            <w:pPr>
              <w:pStyle w:val="Tablesubheading"/>
              <w:spacing w:before="0" w:after="120"/>
              <w:ind w:right="57"/>
              <w:rPr>
                <w:rFonts w:ascii="Arial" w:hAnsi="Arial"/>
                <w:b/>
                <w:bCs/>
                <w:color w:val="5B9AD5"/>
              </w:rPr>
            </w:pPr>
            <w:r w:rsidRPr="152624D1">
              <w:rPr>
                <w:rFonts w:ascii="Arial" w:hAnsi="Arial"/>
                <w:b/>
                <w:bCs/>
                <w:color w:val="5B9AD5"/>
                <w:sz w:val="24"/>
                <w:lang w:eastAsia="en-US"/>
              </w:rPr>
              <w:t xml:space="preserve">Please note: </w:t>
            </w:r>
          </w:p>
          <w:p w14:paraId="6AC9E7CB" w14:textId="4D129BDE" w:rsidR="00D5375B" w:rsidRDefault="152624D1" w:rsidP="152624D1">
            <w:pPr>
              <w:pStyle w:val="Tablesubheading"/>
              <w:numPr>
                <w:ilvl w:val="0"/>
                <w:numId w:val="1"/>
              </w:numPr>
              <w:spacing w:before="0" w:after="120"/>
              <w:ind w:right="57"/>
              <w:rPr>
                <w:b/>
                <w:bCs/>
                <w:color w:val="5B9AD5"/>
                <w:sz w:val="24"/>
              </w:rPr>
            </w:pPr>
            <w:r w:rsidRPr="152624D1">
              <w:rPr>
                <w:rFonts w:ascii="Arial" w:hAnsi="Arial"/>
                <w:b/>
                <w:bCs/>
                <w:color w:val="5B9AD5"/>
                <w:sz w:val="24"/>
                <w:lang w:eastAsia="en-US"/>
              </w:rPr>
              <w:t>Any responses should be sent to the Joint Office of Gas Transporters. These will be forwarded to National Grid and will not form part of the UNC Consultation for UNC0678A/B/C/D/E/F/G/H/I/J</w:t>
            </w:r>
          </w:p>
          <w:p w14:paraId="3EA3E9F9" w14:textId="54653CC1" w:rsidR="00D555E4" w:rsidRDefault="152624D1" w:rsidP="152624D1">
            <w:pPr>
              <w:pStyle w:val="Tablesubheading"/>
              <w:numPr>
                <w:ilvl w:val="0"/>
                <w:numId w:val="1"/>
              </w:numPr>
              <w:spacing w:before="0" w:after="120"/>
              <w:ind w:right="57"/>
              <w:rPr>
                <w:b/>
                <w:bCs/>
                <w:color w:val="5B9AD5"/>
                <w:sz w:val="24"/>
              </w:rPr>
            </w:pPr>
            <w:r w:rsidRPr="152624D1">
              <w:rPr>
                <w:rFonts w:ascii="Arial" w:hAnsi="Arial"/>
                <w:b/>
                <w:bCs/>
                <w:color w:val="5B9AD5"/>
                <w:sz w:val="24"/>
                <w:lang w:eastAsia="en-US"/>
              </w:rPr>
              <w:t xml:space="preserve">Any non-confidential responses will feed into a report to be published within one month of the consultation ending. </w:t>
            </w:r>
          </w:p>
          <w:p w14:paraId="7491E25E" w14:textId="77777777" w:rsidR="00D555E4" w:rsidRDefault="152624D1" w:rsidP="152624D1">
            <w:pPr>
              <w:pStyle w:val="Tablesubheading"/>
              <w:numPr>
                <w:ilvl w:val="0"/>
                <w:numId w:val="1"/>
              </w:numPr>
              <w:spacing w:before="0" w:after="120"/>
              <w:ind w:right="57"/>
              <w:rPr>
                <w:b/>
                <w:bCs/>
                <w:color w:val="5B9AD5"/>
                <w:sz w:val="24"/>
              </w:rPr>
            </w:pPr>
            <w:r w:rsidRPr="152624D1">
              <w:rPr>
                <w:rFonts w:ascii="Arial" w:hAnsi="Arial"/>
                <w:b/>
                <w:bCs/>
                <w:color w:val="5B9AD5"/>
                <w:sz w:val="24"/>
                <w:lang w:eastAsia="en-US"/>
              </w:rPr>
              <w:t>This does not form the final consultation referred to in the EU Tariff Code.</w:t>
            </w:r>
          </w:p>
          <w:p w14:paraId="7AEB70FF" w14:textId="6F7D7954" w:rsidR="0027575B" w:rsidRDefault="152624D1" w:rsidP="152624D1">
            <w:pPr>
              <w:pStyle w:val="Tablesubheading"/>
              <w:numPr>
                <w:ilvl w:val="0"/>
                <w:numId w:val="1"/>
              </w:numPr>
              <w:spacing w:before="0" w:after="120"/>
              <w:ind w:right="57"/>
              <w:rPr>
                <w:b/>
                <w:bCs/>
                <w:color w:val="5B9AD5"/>
                <w:sz w:val="24"/>
              </w:rPr>
            </w:pPr>
            <w:r w:rsidRPr="152624D1">
              <w:rPr>
                <w:rFonts w:ascii="Arial" w:hAnsi="Arial"/>
                <w:b/>
                <w:bCs/>
                <w:color w:val="5B9AD5"/>
                <w:sz w:val="24"/>
                <w:lang w:eastAsia="en-US"/>
              </w:rPr>
              <w:t xml:space="preserve">If you have any questions on this consultation or supporting material, please contact National Grid </w:t>
            </w:r>
            <w:hyperlink r:id="rId9">
              <w:r w:rsidRPr="152624D1">
                <w:rPr>
                  <w:rFonts w:ascii="Arial" w:hAnsi="Arial"/>
                  <w:b/>
                  <w:bCs/>
                  <w:color w:val="5B9AD5"/>
                  <w:sz w:val="24"/>
                  <w:lang w:eastAsia="en-US"/>
                </w:rPr>
                <w:t>box.transmissioncapacityandcharging@nationalgrid.com</w:t>
              </w:r>
            </w:hyperlink>
            <w:r w:rsidRPr="152624D1">
              <w:rPr>
                <w:rFonts w:ascii="Arial" w:hAnsi="Arial"/>
                <w:b/>
                <w:bCs/>
                <w:color w:val="5B9AD5"/>
                <w:sz w:val="24"/>
                <w:lang w:eastAsia="en-US"/>
              </w:rPr>
              <w:t xml:space="preserve"> </w:t>
            </w:r>
          </w:p>
          <w:p w14:paraId="0ECCEA65" w14:textId="38947D0B" w:rsidR="00D67075" w:rsidRPr="00D67075" w:rsidRDefault="152624D1" w:rsidP="152624D1">
            <w:pPr>
              <w:pStyle w:val="Tablesubheading"/>
              <w:numPr>
                <w:ilvl w:val="0"/>
                <w:numId w:val="1"/>
              </w:numPr>
              <w:spacing w:before="0" w:after="120" w:line="259" w:lineRule="auto"/>
              <w:ind w:right="57"/>
              <w:rPr>
                <w:b/>
                <w:bCs/>
                <w:color w:val="5B9AD5"/>
                <w:sz w:val="24"/>
              </w:rPr>
            </w:pPr>
            <w:r w:rsidRPr="152624D1">
              <w:rPr>
                <w:rFonts w:ascii="Arial" w:hAnsi="Arial"/>
                <w:b/>
                <w:bCs/>
                <w:color w:val="5B9AD5"/>
                <w:sz w:val="24"/>
                <w:lang w:eastAsia="en-US"/>
              </w:rPr>
              <w:t xml:space="preserve">Appendix 1 provides background material relevant to this consultation. </w:t>
            </w:r>
          </w:p>
          <w:p w14:paraId="74A64002" w14:textId="41C11999" w:rsidR="00D67075" w:rsidRPr="00D67075" w:rsidRDefault="152624D1" w:rsidP="152624D1">
            <w:pPr>
              <w:pStyle w:val="Tablesubheading"/>
              <w:numPr>
                <w:ilvl w:val="0"/>
                <w:numId w:val="1"/>
              </w:numPr>
              <w:spacing w:before="0" w:after="120" w:line="259" w:lineRule="auto"/>
              <w:ind w:right="57"/>
              <w:rPr>
                <w:b/>
                <w:bCs/>
                <w:color w:val="5B9AD5"/>
                <w:sz w:val="24"/>
              </w:rPr>
            </w:pPr>
            <w:r w:rsidRPr="152624D1">
              <w:rPr>
                <w:rFonts w:ascii="Arial" w:hAnsi="Arial"/>
                <w:b/>
                <w:bCs/>
                <w:color w:val="5B9AD5"/>
                <w:sz w:val="24"/>
                <w:lang w:eastAsia="en-US"/>
              </w:rPr>
              <w:t>Appendix 2 provides a template to help structure any comments on specific items on Articles 26 and 27</w:t>
            </w:r>
          </w:p>
        </w:tc>
      </w:tr>
      <w:tr w:rsidR="0064379C" w:rsidRPr="009469BE" w14:paraId="09776131" w14:textId="77777777" w:rsidTr="19B42FC3">
        <w:tc>
          <w:tcPr>
            <w:tcW w:w="9793" w:type="dxa"/>
            <w:gridSpan w:val="2"/>
            <w:tcBorders>
              <w:top w:val="single" w:sz="8" w:space="0" w:color="CCE0DA"/>
              <w:left w:val="single" w:sz="8" w:space="0" w:color="CCE0DA"/>
              <w:bottom w:val="single" w:sz="8" w:space="0" w:color="CCE0DA"/>
            </w:tcBorders>
          </w:tcPr>
          <w:p w14:paraId="5D651F0B" w14:textId="3F8E8E54" w:rsidR="0064379C" w:rsidRDefault="152624D1" w:rsidP="06930B9C">
            <w:pPr>
              <w:ind w:left="57" w:right="57"/>
              <w:jc w:val="left"/>
              <w:rPr>
                <w:rFonts w:ascii="Arial" w:hAnsi="Arial"/>
                <w:b/>
                <w:bCs/>
                <w:color w:val="5B9BD5" w:themeColor="accent5"/>
              </w:rPr>
            </w:pPr>
            <w:r w:rsidRPr="152624D1">
              <w:rPr>
                <w:rFonts w:ascii="Arial" w:hAnsi="Arial"/>
                <w:b/>
                <w:bCs/>
                <w:color w:val="5B9AD5"/>
              </w:rPr>
              <w:t xml:space="preserve">This consultation and UNC0678A/B/C/D/E/F/G/H/I/J: </w:t>
            </w:r>
          </w:p>
          <w:p w14:paraId="06FF8122" w14:textId="10AE7450" w:rsidR="152624D1" w:rsidRDefault="152624D1" w:rsidP="152624D1">
            <w:pPr>
              <w:pStyle w:val="Tablesubheading"/>
              <w:numPr>
                <w:ilvl w:val="0"/>
                <w:numId w:val="2"/>
              </w:numPr>
              <w:spacing w:before="0" w:after="120" w:line="259" w:lineRule="auto"/>
              <w:ind w:right="57"/>
              <w:rPr>
                <w:b/>
                <w:bCs/>
                <w:color w:val="5B9BD5" w:themeColor="accent5"/>
                <w:sz w:val="24"/>
              </w:rPr>
            </w:pPr>
            <w:r w:rsidRPr="152624D1">
              <w:rPr>
                <w:rFonts w:ascii="Arial" w:eastAsia="Arial" w:hAnsi="Arial" w:cs="Arial"/>
                <w:b/>
                <w:bCs/>
                <w:color w:val="5B9BD5" w:themeColor="accent5"/>
                <w:sz w:val="24"/>
              </w:rPr>
              <w:t>This consultation us</w:t>
            </w:r>
            <w:r w:rsidRPr="152624D1">
              <w:rPr>
                <w:rFonts w:ascii="Arial" w:hAnsi="Arial"/>
                <w:b/>
                <w:bCs/>
                <w:color w:val="5B9AD5"/>
                <w:sz w:val="24"/>
              </w:rPr>
              <w:t xml:space="preserve">es the UNC consultation on the GB charging changes as the main material that should be referred to when considering the comparison </w:t>
            </w:r>
            <w:r w:rsidRPr="152624D1">
              <w:rPr>
                <w:rFonts w:ascii="Arial" w:hAnsi="Arial"/>
                <w:b/>
                <w:bCs/>
                <w:color w:val="5B9BD5" w:themeColor="accent5"/>
                <w:sz w:val="24"/>
              </w:rPr>
              <w:t xml:space="preserve">between the alternative options being proposed. </w:t>
            </w:r>
          </w:p>
          <w:p w14:paraId="56E660C1" w14:textId="1A791472" w:rsidR="152624D1" w:rsidRDefault="152624D1" w:rsidP="152624D1">
            <w:pPr>
              <w:pStyle w:val="Tablesubheading"/>
              <w:spacing w:before="0" w:after="120" w:line="259" w:lineRule="auto"/>
              <w:ind w:left="360" w:right="57" w:hanging="360"/>
              <w:rPr>
                <w:rFonts w:ascii="Arial" w:hAnsi="Arial"/>
                <w:b/>
                <w:bCs/>
                <w:color w:val="5B9BD5" w:themeColor="accent5"/>
                <w:sz w:val="24"/>
              </w:rPr>
            </w:pPr>
          </w:p>
          <w:p w14:paraId="40ECAE01" w14:textId="4F99A9F2" w:rsidR="152624D1" w:rsidRDefault="152624D1" w:rsidP="152624D1">
            <w:pPr>
              <w:pStyle w:val="Tablesubheading"/>
              <w:numPr>
                <w:ilvl w:val="0"/>
                <w:numId w:val="2"/>
              </w:numPr>
              <w:spacing w:before="0" w:after="120" w:line="259" w:lineRule="auto"/>
              <w:ind w:right="57"/>
              <w:rPr>
                <w:b/>
                <w:bCs/>
                <w:color w:val="5B9BD5" w:themeColor="accent5"/>
                <w:sz w:val="24"/>
              </w:rPr>
            </w:pPr>
            <w:r w:rsidRPr="152624D1">
              <w:rPr>
                <w:rFonts w:ascii="Arial" w:hAnsi="Arial"/>
                <w:b/>
                <w:bCs/>
                <w:color w:val="5B9BD5" w:themeColor="accent5"/>
                <w:sz w:val="24"/>
              </w:rPr>
              <w:t>The GB</w:t>
            </w:r>
            <w:r w:rsidRPr="152624D1">
              <w:rPr>
                <w:rFonts w:ascii="Arial" w:hAnsi="Arial"/>
                <w:b/>
                <w:bCs/>
                <w:color w:val="5B9AD5"/>
                <w:sz w:val="24"/>
              </w:rPr>
              <w:t xml:space="preserve"> consultation process for changes follow the U</w:t>
            </w:r>
            <w:r w:rsidRPr="152624D1">
              <w:rPr>
                <w:rFonts w:ascii="Arial" w:eastAsia="Arial" w:hAnsi="Arial" w:cs="Arial"/>
                <w:b/>
                <w:bCs/>
                <w:color w:val="5B9BD5" w:themeColor="accent5"/>
                <w:sz w:val="24"/>
              </w:rPr>
              <w:t>NC change process. The change proposals for GB for Transportation charging can be found here:</w:t>
            </w:r>
            <w:r w:rsidRPr="152624D1">
              <w:rPr>
                <w:rFonts w:ascii="Arial" w:eastAsia="Arial" w:hAnsi="Arial" w:cs="Arial"/>
                <w:b/>
                <w:bCs/>
                <w:color w:val="5B9AD5"/>
                <w:sz w:val="24"/>
              </w:rPr>
              <w:t xml:space="preserve"> </w:t>
            </w:r>
            <w:r w:rsidRPr="152624D1">
              <w:rPr>
                <w:rFonts w:ascii="Times New Roman" w:hAnsi="Times New Roman"/>
                <w:color w:val="000080"/>
                <w:sz w:val="24"/>
              </w:rPr>
              <w:t xml:space="preserve"> </w:t>
            </w:r>
            <w:hyperlink r:id="rId10">
              <w:r w:rsidRPr="152624D1">
                <w:rPr>
                  <w:rStyle w:val="Hyperlink"/>
                  <w:rFonts w:ascii="Arial" w:eastAsia="Arial" w:hAnsi="Arial" w:cs="Arial"/>
                  <w:b/>
                  <w:bCs/>
                  <w:color w:val="5B9BD5" w:themeColor="accent5"/>
                  <w:sz w:val="24"/>
                </w:rPr>
                <w:t>http://www.gasgovernance.co.uk/0678</w:t>
              </w:r>
            </w:hyperlink>
            <w:r w:rsidRPr="152624D1">
              <w:rPr>
                <w:rFonts w:ascii="Arial" w:eastAsia="Arial" w:hAnsi="Arial" w:cs="Arial"/>
                <w:b/>
                <w:bCs/>
                <w:color w:val="5B9BD5" w:themeColor="accent5"/>
                <w:sz w:val="24"/>
              </w:rPr>
              <w:t xml:space="preserve"> </w:t>
            </w:r>
          </w:p>
          <w:p w14:paraId="0957D447" w14:textId="4FA25DEC" w:rsidR="00D67075" w:rsidRPr="00D67075" w:rsidRDefault="00D67075" w:rsidP="06930B9C">
            <w:pPr>
              <w:pStyle w:val="ListParagraph"/>
              <w:spacing w:after="240"/>
              <w:ind w:right="57"/>
              <w:jc w:val="left"/>
              <w:rPr>
                <w:rFonts w:ascii="Arial" w:eastAsia="Arial" w:hAnsi="Arial" w:cs="Arial"/>
                <w:b/>
                <w:bCs/>
              </w:rPr>
            </w:pPr>
          </w:p>
        </w:tc>
      </w:tr>
      <w:tr w:rsidR="00B5469D" w:rsidRPr="009469BE" w14:paraId="6CA12C61" w14:textId="77777777" w:rsidTr="19B42FC3">
        <w:tc>
          <w:tcPr>
            <w:tcW w:w="2847" w:type="dxa"/>
            <w:tcBorders>
              <w:top w:val="single" w:sz="8" w:space="0" w:color="CCE0DA"/>
              <w:left w:val="single" w:sz="8" w:space="0" w:color="CCE0DA"/>
              <w:bottom w:val="single" w:sz="8" w:space="0" w:color="CCE0DA"/>
            </w:tcBorders>
          </w:tcPr>
          <w:p w14:paraId="7B324259" w14:textId="77777777" w:rsidR="00B5469D" w:rsidRPr="00D5375B" w:rsidRDefault="06930B9C" w:rsidP="06930B9C">
            <w:pPr>
              <w:ind w:left="57" w:right="57"/>
              <w:jc w:val="left"/>
              <w:rPr>
                <w:rFonts w:ascii="Arial" w:hAnsi="Arial"/>
                <w:color w:val="5B9BD5" w:themeColor="accent5"/>
              </w:rPr>
            </w:pPr>
            <w:r w:rsidRPr="06930B9C">
              <w:rPr>
                <w:rFonts w:ascii="Arial" w:hAnsi="Arial"/>
                <w:b/>
                <w:bCs/>
                <w:color w:val="5B9BD5" w:themeColor="accent5"/>
              </w:rPr>
              <w:t>Representative</w:t>
            </w:r>
            <w:r w:rsidRPr="06930B9C">
              <w:rPr>
                <w:rFonts w:ascii="Arial" w:hAnsi="Arial"/>
                <w:color w:val="5B9BD5" w:themeColor="accent5"/>
              </w:rPr>
              <w:t>:</w:t>
            </w:r>
          </w:p>
        </w:tc>
        <w:tc>
          <w:tcPr>
            <w:tcW w:w="6946" w:type="dxa"/>
            <w:tcBorders>
              <w:top w:val="single" w:sz="8" w:space="0" w:color="CCE0DA"/>
            </w:tcBorders>
          </w:tcPr>
          <w:p w14:paraId="52283C61" w14:textId="77777777" w:rsidR="00B5469D" w:rsidRPr="00D5375B" w:rsidRDefault="00B5469D" w:rsidP="00C91C94">
            <w:pPr>
              <w:widowControl w:val="0"/>
              <w:autoSpaceDE w:val="0"/>
              <w:autoSpaceDN w:val="0"/>
              <w:adjustRightInd w:val="0"/>
              <w:ind w:left="57" w:right="57"/>
              <w:jc w:val="left"/>
              <w:rPr>
                <w:rFonts w:ascii="Arial" w:hAnsi="Arial" w:cs="Helvetica"/>
                <w:color w:val="5B9BD5" w:themeColor="accent5"/>
              </w:rPr>
            </w:pPr>
          </w:p>
        </w:tc>
      </w:tr>
      <w:tr w:rsidR="00B5469D" w:rsidRPr="009469BE" w14:paraId="28E13F82" w14:textId="77777777" w:rsidTr="19B42FC3">
        <w:tc>
          <w:tcPr>
            <w:tcW w:w="2847" w:type="dxa"/>
            <w:tcBorders>
              <w:top w:val="single" w:sz="8" w:space="0" w:color="CCE0DA"/>
              <w:left w:val="single" w:sz="8" w:space="0" w:color="CCE0DA"/>
              <w:bottom w:val="single" w:sz="8" w:space="0" w:color="CCE0DA"/>
            </w:tcBorders>
          </w:tcPr>
          <w:p w14:paraId="7E306897" w14:textId="77777777" w:rsidR="00B5469D" w:rsidRPr="00D5375B" w:rsidRDefault="06930B9C" w:rsidP="06930B9C">
            <w:pPr>
              <w:ind w:left="57" w:right="57"/>
              <w:jc w:val="left"/>
              <w:rPr>
                <w:rFonts w:ascii="Arial" w:hAnsi="Arial"/>
                <w:b/>
                <w:bCs/>
                <w:color w:val="5B9BD5" w:themeColor="accent5"/>
              </w:rPr>
            </w:pPr>
            <w:r w:rsidRPr="06930B9C">
              <w:rPr>
                <w:rFonts w:ascii="Arial" w:hAnsi="Arial"/>
                <w:b/>
                <w:bCs/>
                <w:color w:val="5B9BD5" w:themeColor="accent5"/>
              </w:rPr>
              <w:t xml:space="preserve">Organisation:  </w:t>
            </w:r>
          </w:p>
        </w:tc>
        <w:tc>
          <w:tcPr>
            <w:tcW w:w="6946" w:type="dxa"/>
            <w:tcBorders>
              <w:top w:val="single" w:sz="8" w:space="0" w:color="CCE0DA"/>
            </w:tcBorders>
          </w:tcPr>
          <w:p w14:paraId="222963AA" w14:textId="77777777" w:rsidR="00B5469D" w:rsidRPr="00D5375B" w:rsidRDefault="00B5469D" w:rsidP="00C91C94">
            <w:pPr>
              <w:widowControl w:val="0"/>
              <w:autoSpaceDE w:val="0"/>
              <w:autoSpaceDN w:val="0"/>
              <w:adjustRightInd w:val="0"/>
              <w:ind w:left="57" w:right="57"/>
              <w:jc w:val="left"/>
              <w:rPr>
                <w:rFonts w:ascii="Arial" w:hAnsi="Arial" w:cs="Helvetica"/>
                <w:color w:val="5B9BD5" w:themeColor="accent5"/>
              </w:rPr>
            </w:pPr>
          </w:p>
        </w:tc>
      </w:tr>
      <w:tr w:rsidR="00B5469D" w:rsidRPr="009469BE" w14:paraId="64D7DA94" w14:textId="77777777" w:rsidTr="19B42FC3">
        <w:tc>
          <w:tcPr>
            <w:tcW w:w="2847" w:type="dxa"/>
            <w:tcBorders>
              <w:top w:val="single" w:sz="8" w:space="0" w:color="CCE0DA"/>
              <w:left w:val="single" w:sz="8" w:space="0" w:color="CCE0DA"/>
              <w:bottom w:val="single" w:sz="8" w:space="0" w:color="CCE0DA"/>
            </w:tcBorders>
          </w:tcPr>
          <w:p w14:paraId="644E3464" w14:textId="77777777" w:rsidR="00B5469D" w:rsidRPr="00D5375B" w:rsidRDefault="06930B9C" w:rsidP="06930B9C">
            <w:pPr>
              <w:ind w:left="57" w:right="57"/>
              <w:jc w:val="left"/>
              <w:rPr>
                <w:rFonts w:ascii="Arial" w:hAnsi="Arial"/>
                <w:color w:val="5B9BD5" w:themeColor="accent5"/>
                <w:u w:val="single"/>
              </w:rPr>
            </w:pPr>
            <w:r w:rsidRPr="06930B9C">
              <w:rPr>
                <w:rFonts w:ascii="Arial" w:hAnsi="Arial"/>
                <w:b/>
                <w:bCs/>
                <w:color w:val="5B9BD5" w:themeColor="accent5"/>
              </w:rPr>
              <w:t>Date of Representation:</w:t>
            </w:r>
          </w:p>
        </w:tc>
        <w:tc>
          <w:tcPr>
            <w:tcW w:w="6946" w:type="dxa"/>
            <w:tcBorders>
              <w:top w:val="single" w:sz="8" w:space="0" w:color="CCE0DA"/>
            </w:tcBorders>
          </w:tcPr>
          <w:p w14:paraId="273CDC30" w14:textId="77777777" w:rsidR="00B5469D" w:rsidRPr="00D5375B" w:rsidRDefault="00B5469D" w:rsidP="00C91C94">
            <w:pPr>
              <w:widowControl w:val="0"/>
              <w:autoSpaceDE w:val="0"/>
              <w:autoSpaceDN w:val="0"/>
              <w:adjustRightInd w:val="0"/>
              <w:ind w:left="57" w:right="57"/>
              <w:jc w:val="left"/>
              <w:rPr>
                <w:rFonts w:ascii="Arial" w:hAnsi="Arial" w:cs="Helvetica"/>
                <w:color w:val="5B9BD5" w:themeColor="accent5"/>
              </w:rPr>
            </w:pPr>
          </w:p>
        </w:tc>
      </w:tr>
    </w:tbl>
    <w:p w14:paraId="30346382" w14:textId="77777777" w:rsidR="0073208C" w:rsidRPr="00655429" w:rsidRDefault="0073208C" w:rsidP="00C91C94">
      <w:pPr>
        <w:ind w:left="57"/>
        <w:rPr>
          <w:rFonts w:ascii="Arial" w:hAnsi="Arial"/>
          <w:bCs/>
          <w:color w:val="auto"/>
        </w:rPr>
        <w:sectPr w:rsidR="0073208C" w:rsidRPr="00655429" w:rsidSect="00702EAB">
          <w:headerReference w:type="default" r:id="rId11"/>
          <w:footerReference w:type="default" r:id="rId12"/>
          <w:type w:val="continuous"/>
          <w:pgSz w:w="11906" w:h="16838"/>
          <w:pgMar w:top="993" w:right="1418" w:bottom="1440" w:left="1440" w:header="709" w:footer="698" w:gutter="0"/>
          <w:cols w:space="708"/>
          <w:formProt w:val="0"/>
          <w:docGrid w:linePitch="360"/>
        </w:sectPr>
      </w:pPr>
    </w:p>
    <w:p w14:paraId="64DA5042" w14:textId="77BEA164" w:rsidR="006E7111" w:rsidRPr="00BD0975" w:rsidRDefault="152624D1" w:rsidP="152624D1">
      <w:pPr>
        <w:pStyle w:val="Heading02"/>
        <w:shd w:val="clear" w:color="auto" w:fill="5B9BD5" w:themeFill="accent5"/>
        <w:ind w:left="0"/>
        <w:rPr>
          <w:color w:val="FFFFFF" w:themeColor="background1"/>
        </w:rPr>
      </w:pPr>
      <w:r w:rsidRPr="152624D1">
        <w:rPr>
          <w:color w:val="FFFFFF" w:themeColor="background1"/>
        </w:rPr>
        <w:t>Comments on the proposals presented for the GB Charging Arrangements (shown under UNC0678A/B/C/D/E/F/G/H/I/J)</w:t>
      </w:r>
    </w:p>
    <w:p w14:paraId="2645F29B" w14:textId="3B59F592" w:rsidR="006E7111" w:rsidRPr="00655429" w:rsidRDefault="00917B93" w:rsidP="00C91C94">
      <w:pPr>
        <w:ind w:left="57"/>
        <w:jc w:val="left"/>
        <w:rPr>
          <w:rFonts w:ascii="Arial" w:hAnsi="Arial" w:cs="Helvetica"/>
          <w:color w:val="auto"/>
        </w:rPr>
      </w:pPr>
      <w:r>
        <w:rPr>
          <w:rFonts w:ascii="Arial" w:hAnsi="Arial" w:cs="Helvetica"/>
          <w:color w:val="auto"/>
        </w:rPr>
        <w:t>Please insert any required text here</w:t>
      </w:r>
    </w:p>
    <w:p w14:paraId="57459C35" w14:textId="01C1E8C6" w:rsidR="000F3CFB" w:rsidRPr="00C72CB7" w:rsidRDefault="00D555E4" w:rsidP="00C72CB7">
      <w:pPr>
        <w:pStyle w:val="Heading02"/>
        <w:shd w:val="clear" w:color="auto" w:fill="5B9BD5" w:themeFill="accent5"/>
        <w:ind w:left="0"/>
        <w:rPr>
          <w:color w:val="FFFFFF" w:themeColor="background1"/>
        </w:rPr>
      </w:pPr>
      <w:r>
        <w:rPr>
          <w:color w:val="FFFFFF" w:themeColor="background1"/>
        </w:rPr>
        <w:lastRenderedPageBreak/>
        <w:t>Please provide below any comments on the content of this consultation</w:t>
      </w:r>
      <w:r w:rsidR="00D67075">
        <w:rPr>
          <w:color w:val="FFFFFF" w:themeColor="background1"/>
        </w:rPr>
        <w:t>, supporting documents and</w:t>
      </w:r>
      <w:r>
        <w:rPr>
          <w:color w:val="FFFFFF" w:themeColor="background1"/>
        </w:rPr>
        <w:t xml:space="preserve"> any comments specific to Article 26 or 27</w:t>
      </w:r>
    </w:p>
    <w:p w14:paraId="237AD3A7" w14:textId="0DBE7FAA" w:rsidR="004632DF" w:rsidRDefault="004632DF" w:rsidP="00917B93">
      <w:pPr>
        <w:ind w:left="57"/>
        <w:jc w:val="left"/>
        <w:rPr>
          <w:rFonts w:ascii="Arial" w:hAnsi="Arial" w:cs="Helvetica"/>
          <w:color w:val="auto"/>
        </w:rPr>
      </w:pPr>
      <w:r>
        <w:rPr>
          <w:rFonts w:ascii="Arial" w:hAnsi="Arial" w:cs="Helvetica"/>
          <w:color w:val="auto"/>
        </w:rPr>
        <w:t xml:space="preserve">Two tables are provided in Appendix 2 of this template to help structure any comments on specific items on Articles 26 and 27. </w:t>
      </w:r>
    </w:p>
    <w:p w14:paraId="6034497D" w14:textId="0EF1001E" w:rsidR="004632DF" w:rsidRDefault="004632DF" w:rsidP="00917B93">
      <w:pPr>
        <w:ind w:left="57"/>
        <w:jc w:val="left"/>
        <w:rPr>
          <w:rFonts w:ascii="Arial" w:hAnsi="Arial" w:cs="Helvetica"/>
          <w:color w:val="auto"/>
        </w:rPr>
      </w:pPr>
      <w:r>
        <w:rPr>
          <w:rFonts w:ascii="Arial" w:hAnsi="Arial" w:cs="Helvetica"/>
          <w:color w:val="auto"/>
        </w:rPr>
        <w:t xml:space="preserve">Any additional comments can also be provided here. </w:t>
      </w:r>
    </w:p>
    <w:p w14:paraId="740F7718" w14:textId="4BEAFA7B" w:rsidR="00BD0975" w:rsidRPr="00C72CB7" w:rsidRDefault="152624D1" w:rsidP="152624D1">
      <w:pPr>
        <w:pStyle w:val="Heading02"/>
        <w:shd w:val="clear" w:color="auto" w:fill="5B9BD5" w:themeFill="accent5"/>
        <w:ind w:left="0"/>
        <w:rPr>
          <w:color w:val="FFFFFF" w:themeColor="background1"/>
        </w:rPr>
      </w:pPr>
      <w:r w:rsidRPr="152624D1">
        <w:rPr>
          <w:color w:val="FFFFFF" w:themeColor="background1"/>
        </w:rPr>
        <w:t>Please provide below any specific comments or observations you wish to highlight to help facilitate updates in preparing the final consultation as outlined in the EU Tariff Code</w:t>
      </w:r>
    </w:p>
    <w:p w14:paraId="08020A07" w14:textId="77777777" w:rsidR="00917B93" w:rsidRPr="00655429" w:rsidRDefault="00917B93" w:rsidP="00917B93">
      <w:pPr>
        <w:ind w:left="57"/>
        <w:jc w:val="left"/>
        <w:rPr>
          <w:rFonts w:ascii="Arial" w:hAnsi="Arial" w:cs="Helvetica"/>
          <w:color w:val="auto"/>
        </w:rPr>
      </w:pPr>
      <w:r>
        <w:rPr>
          <w:rFonts w:ascii="Arial" w:hAnsi="Arial" w:cs="Helvetica"/>
          <w:color w:val="auto"/>
        </w:rPr>
        <w:t>Please insert any required text here</w:t>
      </w:r>
    </w:p>
    <w:p w14:paraId="418AE65D" w14:textId="280C3078" w:rsidR="000F3CFB" w:rsidRDefault="00917B93" w:rsidP="00917B93">
      <w:pPr>
        <w:spacing w:before="0" w:after="0"/>
        <w:jc w:val="left"/>
        <w:rPr>
          <w:rFonts w:ascii="Arial" w:hAnsi="Arial"/>
          <w:b/>
          <w:bCs/>
          <w:color w:val="5B9BD5" w:themeColor="accent5"/>
        </w:rPr>
      </w:pPr>
      <w:r>
        <w:rPr>
          <w:rFonts w:ascii="Arial" w:hAnsi="Arial"/>
        </w:rPr>
        <w:t xml:space="preserve"> </w:t>
      </w:r>
      <w:r w:rsidR="007F03A5">
        <w:rPr>
          <w:rFonts w:ascii="Arial" w:hAnsi="Arial"/>
        </w:rPr>
        <w:br w:type="page"/>
      </w:r>
      <w:r w:rsidR="007F03A5" w:rsidRPr="007F03A5">
        <w:rPr>
          <w:rFonts w:ascii="Arial" w:hAnsi="Arial"/>
          <w:b/>
          <w:bCs/>
          <w:color w:val="5B9BD5" w:themeColor="accent5"/>
        </w:rPr>
        <w:lastRenderedPageBreak/>
        <w:t>Appendix</w:t>
      </w:r>
      <w:r w:rsidR="004632DF">
        <w:rPr>
          <w:rFonts w:ascii="Arial" w:hAnsi="Arial"/>
          <w:b/>
          <w:bCs/>
          <w:color w:val="5B9BD5" w:themeColor="accent5"/>
        </w:rPr>
        <w:t xml:space="preserve"> 1</w:t>
      </w:r>
      <w:r w:rsidR="007F03A5" w:rsidRPr="007F03A5">
        <w:rPr>
          <w:rFonts w:ascii="Arial" w:hAnsi="Arial"/>
          <w:b/>
          <w:bCs/>
          <w:color w:val="5B9BD5" w:themeColor="accent5"/>
        </w:rPr>
        <w:t>: Relevant information</w:t>
      </w:r>
      <w:r w:rsidR="00003DBC">
        <w:rPr>
          <w:rFonts w:ascii="Arial" w:hAnsi="Arial"/>
          <w:b/>
          <w:bCs/>
          <w:color w:val="5B9BD5" w:themeColor="accent5"/>
        </w:rPr>
        <w:t xml:space="preserve"> to this preliminary ACER Consultation</w:t>
      </w:r>
    </w:p>
    <w:p w14:paraId="3138EC18" w14:textId="5E8BB87D" w:rsidR="007F03A5" w:rsidRDefault="007F03A5" w:rsidP="007F03A5">
      <w:pPr>
        <w:spacing w:before="0" w:after="0"/>
        <w:jc w:val="left"/>
        <w:rPr>
          <w:rFonts w:ascii="Arial" w:hAnsi="Arial"/>
          <w:b/>
          <w:bCs/>
          <w:color w:val="5B9BD5" w:themeColor="accent5"/>
        </w:rPr>
      </w:pPr>
    </w:p>
    <w:p w14:paraId="57F1FFA7" w14:textId="74D5D097" w:rsidR="00917B93" w:rsidRDefault="00917B93" w:rsidP="00917B93">
      <w:pPr>
        <w:ind w:left="57"/>
        <w:jc w:val="left"/>
        <w:rPr>
          <w:rFonts w:ascii="Arial" w:hAnsi="Arial"/>
          <w:b/>
          <w:color w:val="auto"/>
        </w:rPr>
      </w:pPr>
      <w:r>
        <w:rPr>
          <w:rFonts w:ascii="Arial" w:hAnsi="Arial"/>
          <w:b/>
          <w:color w:val="auto"/>
        </w:rPr>
        <w:t>Background information</w:t>
      </w:r>
    </w:p>
    <w:p w14:paraId="20A32C55" w14:textId="64871DBD" w:rsidR="00917B93" w:rsidRDefault="152624D1" w:rsidP="152624D1">
      <w:pPr>
        <w:ind w:left="57"/>
        <w:jc w:val="left"/>
        <w:rPr>
          <w:rFonts w:ascii="Arial" w:hAnsi="Arial"/>
          <w:color w:val="auto"/>
        </w:rPr>
      </w:pPr>
      <w:r w:rsidRPr="152624D1">
        <w:rPr>
          <w:rFonts w:ascii="Arial" w:hAnsi="Arial"/>
          <w:color w:val="auto"/>
        </w:rPr>
        <w:t>This consultation is being issued in line with Article 26 of the EU Tariff Code and the Ofgem direction dated 10 April 2019</w:t>
      </w:r>
    </w:p>
    <w:p w14:paraId="062A9790" w14:textId="02C9C9CC" w:rsidR="00917B93" w:rsidRDefault="152624D1" w:rsidP="152624D1">
      <w:pPr>
        <w:ind w:left="57"/>
        <w:jc w:val="left"/>
        <w:rPr>
          <w:rFonts w:ascii="Arial" w:hAnsi="Arial"/>
          <w:color w:val="auto"/>
        </w:rPr>
      </w:pPr>
      <w:r w:rsidRPr="152624D1">
        <w:rPr>
          <w:rFonts w:ascii="Arial" w:hAnsi="Arial"/>
          <w:color w:val="auto"/>
        </w:rPr>
        <w:t>(</w:t>
      </w:r>
      <w:hyperlink r:id="rId13">
        <w:r w:rsidRPr="152624D1">
          <w:rPr>
            <w:rStyle w:val="Hyperlink"/>
            <w:rFonts w:ascii="Arial" w:eastAsia="Arial" w:hAnsi="Arial" w:cs="Arial"/>
          </w:rPr>
          <w:t>https://www.ofgem.gov.uk/system/files/docs/2019/04/decision_letter_unc678.pdf</w:t>
        </w:r>
      </w:hyperlink>
      <w:r w:rsidRPr="152624D1">
        <w:rPr>
          <w:rFonts w:ascii="Arial" w:eastAsia="Arial" w:hAnsi="Arial" w:cs="Arial"/>
          <w:u w:val="single"/>
        </w:rPr>
        <w:t>)</w:t>
      </w:r>
    </w:p>
    <w:p w14:paraId="4DDBCAD1" w14:textId="6D72198E" w:rsidR="005E59E3" w:rsidRDefault="06930B9C" w:rsidP="06930B9C">
      <w:pPr>
        <w:ind w:left="57"/>
        <w:jc w:val="left"/>
        <w:rPr>
          <w:rFonts w:ascii="Arial" w:hAnsi="Arial"/>
          <w:color w:val="auto"/>
        </w:rPr>
      </w:pPr>
      <w:r w:rsidRPr="06930B9C">
        <w:rPr>
          <w:rFonts w:ascii="Arial" w:hAnsi="Arial"/>
          <w:color w:val="auto"/>
        </w:rPr>
        <w:t xml:space="preserve">This consultation is a preliminary consultation and is being issued alongside the UNC consultation on the GB Charging proposals being considered under UNC0678A/B/C/D/E/F/G/H/I/J. It is being run in parallel to the UNC consultation. </w:t>
      </w:r>
    </w:p>
    <w:p w14:paraId="5292186E" w14:textId="7DB416D4" w:rsidR="005B493D" w:rsidRDefault="152624D1" w:rsidP="152624D1">
      <w:pPr>
        <w:ind w:left="57"/>
        <w:jc w:val="left"/>
        <w:rPr>
          <w:rFonts w:ascii="Arial" w:hAnsi="Arial"/>
          <w:b/>
          <w:bCs/>
          <w:color w:val="auto"/>
        </w:rPr>
      </w:pPr>
      <w:r w:rsidRPr="152624D1">
        <w:rPr>
          <w:rFonts w:ascii="Arial" w:hAnsi="Arial"/>
          <w:color w:val="auto"/>
        </w:rPr>
        <w:t xml:space="preserve">The final consultation required under Article 26 of the EU Tariff Code will be issued by Ofgem. </w:t>
      </w:r>
    </w:p>
    <w:p w14:paraId="644AF922" w14:textId="0F2BE15E" w:rsidR="00557E33" w:rsidRDefault="00557E33" w:rsidP="007F03A5">
      <w:pPr>
        <w:ind w:left="57"/>
        <w:jc w:val="left"/>
        <w:rPr>
          <w:rFonts w:ascii="Arial" w:hAnsi="Arial"/>
          <w:b/>
          <w:color w:val="auto"/>
        </w:rPr>
      </w:pPr>
      <w:r>
        <w:rPr>
          <w:rFonts w:ascii="Arial" w:hAnsi="Arial"/>
          <w:b/>
          <w:color w:val="auto"/>
        </w:rPr>
        <w:t>EU Tariff Code</w:t>
      </w:r>
    </w:p>
    <w:p w14:paraId="77A7CF67" w14:textId="5FE68DFD" w:rsidR="00557E33" w:rsidRPr="00557E33" w:rsidRDefault="00557E33" w:rsidP="00557E33">
      <w:pPr>
        <w:ind w:left="57"/>
        <w:jc w:val="left"/>
        <w:rPr>
          <w:rFonts w:ascii="Arial" w:hAnsi="Arial"/>
          <w:color w:val="auto"/>
        </w:rPr>
      </w:pPr>
      <w:r>
        <w:rPr>
          <w:rFonts w:ascii="Arial" w:hAnsi="Arial"/>
          <w:color w:val="auto"/>
        </w:rPr>
        <w:t xml:space="preserve">EU Commission Regulation 2017/460 (EU Tariff Code) </w:t>
      </w:r>
      <w:hyperlink r:id="rId14" w:history="1">
        <w:r w:rsidRPr="00496C64">
          <w:rPr>
            <w:rStyle w:val="Hyperlink"/>
            <w:rFonts w:ascii="Arial" w:hAnsi="Arial"/>
          </w:rPr>
          <w:t>http://eur-lex.europa.eu/legal-content/EN/TXT/HTML/?uri=CELEX:32017R0460&amp;from=EN</w:t>
        </w:r>
      </w:hyperlink>
      <w:r>
        <w:rPr>
          <w:rFonts w:ascii="Arial" w:hAnsi="Arial"/>
          <w:color w:val="auto"/>
        </w:rPr>
        <w:t xml:space="preserve"> </w:t>
      </w:r>
    </w:p>
    <w:p w14:paraId="62C6DC84" w14:textId="427A7A1B" w:rsidR="007F03A5" w:rsidRPr="00557E33" w:rsidRDefault="007F03A5" w:rsidP="007F03A5">
      <w:pPr>
        <w:ind w:left="57"/>
        <w:jc w:val="left"/>
        <w:rPr>
          <w:rFonts w:ascii="Arial" w:hAnsi="Arial"/>
          <w:b/>
          <w:color w:val="auto"/>
        </w:rPr>
      </w:pPr>
      <w:r w:rsidRPr="00557E33">
        <w:rPr>
          <w:rFonts w:ascii="Arial" w:hAnsi="Arial"/>
          <w:b/>
          <w:color w:val="auto"/>
        </w:rPr>
        <w:t xml:space="preserve">Draft ACER </w:t>
      </w:r>
      <w:r w:rsidR="00B440EE">
        <w:rPr>
          <w:rFonts w:ascii="Arial" w:hAnsi="Arial"/>
          <w:b/>
          <w:color w:val="auto"/>
        </w:rPr>
        <w:t>C</w:t>
      </w:r>
      <w:r w:rsidR="00D8464B">
        <w:rPr>
          <w:rFonts w:ascii="Arial" w:hAnsi="Arial"/>
          <w:b/>
          <w:color w:val="auto"/>
        </w:rPr>
        <w:t xml:space="preserve">onsultation </w:t>
      </w:r>
      <w:r w:rsidRPr="00557E33">
        <w:rPr>
          <w:rFonts w:ascii="Arial" w:hAnsi="Arial"/>
          <w:b/>
          <w:color w:val="auto"/>
        </w:rPr>
        <w:t xml:space="preserve">Template </w:t>
      </w:r>
    </w:p>
    <w:p w14:paraId="474BCDCC" w14:textId="4E8F2053" w:rsidR="00557E33" w:rsidRDefault="00D8464B" w:rsidP="007F03A5">
      <w:pPr>
        <w:ind w:left="57"/>
        <w:jc w:val="left"/>
        <w:rPr>
          <w:rFonts w:ascii="Arial" w:hAnsi="Arial"/>
          <w:color w:val="auto"/>
        </w:rPr>
      </w:pPr>
      <w:r>
        <w:rPr>
          <w:rFonts w:ascii="Arial" w:hAnsi="Arial"/>
          <w:color w:val="auto"/>
        </w:rPr>
        <w:t xml:space="preserve">A populated version of this is attached to the notice of this consultation. </w:t>
      </w:r>
    </w:p>
    <w:p w14:paraId="26409E17" w14:textId="6B85BCAB" w:rsidR="007F03A5" w:rsidRPr="00557E33" w:rsidRDefault="06930B9C" w:rsidP="06930B9C">
      <w:pPr>
        <w:ind w:left="57"/>
        <w:jc w:val="left"/>
        <w:rPr>
          <w:rFonts w:ascii="Arial" w:hAnsi="Arial"/>
          <w:b/>
          <w:bCs/>
          <w:color w:val="auto"/>
        </w:rPr>
      </w:pPr>
      <w:r w:rsidRPr="06930B9C">
        <w:rPr>
          <w:rFonts w:ascii="Arial" w:hAnsi="Arial"/>
          <w:b/>
          <w:bCs/>
          <w:color w:val="auto"/>
        </w:rPr>
        <w:t xml:space="preserve">UNC0678 and Alternative modification links: </w:t>
      </w:r>
    </w:p>
    <w:p w14:paraId="45F560F4" w14:textId="1EA1B566" w:rsidR="00557E33" w:rsidRDefault="00EC76EE" w:rsidP="152624D1">
      <w:pPr>
        <w:ind w:left="57"/>
        <w:jc w:val="left"/>
        <w:rPr>
          <w:rFonts w:ascii="Arial" w:hAnsi="Arial"/>
          <w:color w:val="auto"/>
        </w:rPr>
      </w:pPr>
      <w:hyperlink r:id="rId15">
        <w:r w:rsidR="152624D1" w:rsidRPr="152624D1">
          <w:rPr>
            <w:rStyle w:val="Hyperlink"/>
            <w:rFonts w:ascii="Arial" w:eastAsia="Arial" w:hAnsi="Arial" w:cs="Arial"/>
          </w:rPr>
          <w:t>http://www.gasgovernance.co.uk/0678</w:t>
        </w:r>
      </w:hyperlink>
      <w:r w:rsidR="152624D1" w:rsidRPr="152624D1">
        <w:rPr>
          <w:rFonts w:ascii="Arial" w:hAnsi="Arial"/>
          <w:color w:val="auto"/>
        </w:rPr>
        <w:t xml:space="preserve"> - Main page for modifications including the workgroup report Part I and 11 (eleven) Part II documents. </w:t>
      </w:r>
    </w:p>
    <w:p w14:paraId="27F2DADD" w14:textId="1BB577F6" w:rsidR="00557E33" w:rsidRDefault="152624D1" w:rsidP="152624D1">
      <w:pPr>
        <w:ind w:left="57"/>
        <w:jc w:val="left"/>
        <w:rPr>
          <w:rFonts w:ascii="Arial" w:hAnsi="Arial"/>
          <w:color w:val="auto"/>
        </w:rPr>
      </w:pPr>
      <w:r w:rsidRPr="152624D1">
        <w:rPr>
          <w:rFonts w:ascii="Arial" w:hAnsi="Arial"/>
          <w:color w:val="auto"/>
        </w:rPr>
        <w:t xml:space="preserve">Part I document: Comparing the alternative modifications. </w:t>
      </w:r>
    </w:p>
    <w:p w14:paraId="35F57582" w14:textId="134E66FA" w:rsidR="00557E33" w:rsidRDefault="152624D1" w:rsidP="152624D1">
      <w:pPr>
        <w:ind w:left="57"/>
        <w:jc w:val="left"/>
        <w:rPr>
          <w:rFonts w:ascii="Arial" w:hAnsi="Arial"/>
          <w:color w:val="auto"/>
        </w:rPr>
      </w:pPr>
      <w:r w:rsidRPr="152624D1">
        <w:rPr>
          <w:rFonts w:ascii="Arial" w:hAnsi="Arial"/>
          <w:color w:val="auto"/>
        </w:rPr>
        <w:t>Part II documents: Document specific to each proposal</w:t>
      </w:r>
    </w:p>
    <w:p w14:paraId="600129F5" w14:textId="6316C60A" w:rsidR="007F03A5" w:rsidRDefault="007F03A5" w:rsidP="007F03A5">
      <w:pPr>
        <w:ind w:left="57"/>
        <w:jc w:val="left"/>
        <w:rPr>
          <w:rFonts w:ascii="Arial" w:hAnsi="Arial"/>
          <w:b/>
          <w:color w:val="auto"/>
        </w:rPr>
      </w:pPr>
      <w:r w:rsidRPr="00557E33">
        <w:rPr>
          <w:rFonts w:ascii="Arial" w:hAnsi="Arial"/>
          <w:b/>
          <w:color w:val="auto"/>
        </w:rPr>
        <w:t>Analysis and ref</w:t>
      </w:r>
      <w:r w:rsidR="00003DBC">
        <w:rPr>
          <w:rFonts w:ascii="Arial" w:hAnsi="Arial"/>
          <w:b/>
          <w:color w:val="auto"/>
        </w:rPr>
        <w:t>erence</w:t>
      </w:r>
      <w:r w:rsidRPr="00557E33">
        <w:rPr>
          <w:rFonts w:ascii="Arial" w:hAnsi="Arial"/>
          <w:b/>
          <w:color w:val="auto"/>
        </w:rPr>
        <w:t xml:space="preserve"> material</w:t>
      </w:r>
    </w:p>
    <w:p w14:paraId="1BD86757" w14:textId="71983633" w:rsidR="00557E33" w:rsidRDefault="00557E33" w:rsidP="007F03A5">
      <w:pPr>
        <w:ind w:left="57"/>
        <w:jc w:val="left"/>
        <w:rPr>
          <w:rFonts w:ascii="Arial" w:hAnsi="Arial"/>
          <w:color w:val="auto"/>
        </w:rPr>
      </w:pPr>
      <w:r>
        <w:rPr>
          <w:rFonts w:ascii="Arial" w:hAnsi="Arial"/>
          <w:color w:val="auto"/>
        </w:rPr>
        <w:t xml:space="preserve">Any relevant analysis or material has been referenced </w:t>
      </w:r>
      <w:r w:rsidR="00003DBC">
        <w:rPr>
          <w:rFonts w:ascii="Arial" w:hAnsi="Arial"/>
          <w:color w:val="auto"/>
        </w:rPr>
        <w:t xml:space="preserve">or summarised </w:t>
      </w:r>
      <w:r>
        <w:rPr>
          <w:rFonts w:ascii="Arial" w:hAnsi="Arial"/>
          <w:color w:val="auto"/>
        </w:rPr>
        <w:t xml:space="preserve">in the </w:t>
      </w:r>
      <w:r w:rsidR="00B440EE">
        <w:rPr>
          <w:rFonts w:ascii="Arial" w:hAnsi="Arial"/>
          <w:color w:val="auto"/>
        </w:rPr>
        <w:t xml:space="preserve">draft </w:t>
      </w:r>
      <w:r w:rsidR="00003DBC" w:rsidRPr="00003DBC">
        <w:rPr>
          <w:rFonts w:ascii="Arial" w:hAnsi="Arial"/>
          <w:color w:val="auto"/>
        </w:rPr>
        <w:t>ACER Consultation Template</w:t>
      </w:r>
      <w:r w:rsidR="00003DBC">
        <w:rPr>
          <w:rFonts w:ascii="Arial" w:hAnsi="Arial"/>
          <w:color w:val="auto"/>
        </w:rPr>
        <w:t xml:space="preserve">. </w:t>
      </w:r>
    </w:p>
    <w:p w14:paraId="7FE5270E" w14:textId="77777777" w:rsidR="004632DF" w:rsidRDefault="004632DF" w:rsidP="007F03A5">
      <w:pPr>
        <w:ind w:left="57"/>
        <w:jc w:val="left"/>
        <w:rPr>
          <w:rFonts w:ascii="Arial" w:hAnsi="Arial"/>
          <w:b/>
          <w:color w:val="auto"/>
        </w:rPr>
      </w:pPr>
    </w:p>
    <w:p w14:paraId="5D5A0F90" w14:textId="77777777" w:rsidR="004632DF" w:rsidRDefault="004632DF">
      <w:pPr>
        <w:spacing w:before="0" w:after="0"/>
        <w:jc w:val="left"/>
        <w:rPr>
          <w:rFonts w:ascii="Arial" w:hAnsi="Arial"/>
          <w:b/>
          <w:color w:val="auto"/>
        </w:rPr>
      </w:pPr>
      <w:r>
        <w:rPr>
          <w:rFonts w:ascii="Arial" w:hAnsi="Arial"/>
          <w:b/>
          <w:color w:val="auto"/>
        </w:rPr>
        <w:br w:type="page"/>
      </w:r>
    </w:p>
    <w:p w14:paraId="63B54FBE" w14:textId="3754B400" w:rsidR="004632DF" w:rsidRDefault="004632DF" w:rsidP="004632DF">
      <w:pPr>
        <w:spacing w:before="0" w:after="0"/>
        <w:jc w:val="left"/>
        <w:rPr>
          <w:rFonts w:ascii="Arial" w:hAnsi="Arial"/>
          <w:b/>
          <w:bCs/>
          <w:color w:val="5B9BD5" w:themeColor="accent5"/>
        </w:rPr>
      </w:pPr>
      <w:r w:rsidRPr="007F03A5">
        <w:rPr>
          <w:rFonts w:ascii="Arial" w:hAnsi="Arial"/>
          <w:b/>
          <w:bCs/>
          <w:color w:val="5B9BD5" w:themeColor="accent5"/>
        </w:rPr>
        <w:lastRenderedPageBreak/>
        <w:t>Appendix</w:t>
      </w:r>
      <w:r>
        <w:rPr>
          <w:rFonts w:ascii="Arial" w:hAnsi="Arial"/>
          <w:b/>
          <w:bCs/>
          <w:color w:val="5B9BD5" w:themeColor="accent5"/>
        </w:rPr>
        <w:t xml:space="preserve"> </w:t>
      </w:r>
      <w:r w:rsidR="00B440EE">
        <w:rPr>
          <w:rFonts w:ascii="Arial" w:hAnsi="Arial"/>
          <w:b/>
          <w:bCs/>
          <w:color w:val="5B9BD5" w:themeColor="accent5"/>
        </w:rPr>
        <w:t>2</w:t>
      </w:r>
      <w:r w:rsidRPr="007F03A5">
        <w:rPr>
          <w:rFonts w:ascii="Arial" w:hAnsi="Arial"/>
          <w:b/>
          <w:bCs/>
          <w:color w:val="5B9BD5" w:themeColor="accent5"/>
        </w:rPr>
        <w:t xml:space="preserve">: </w:t>
      </w:r>
      <w:r w:rsidR="00413858">
        <w:rPr>
          <w:rFonts w:ascii="Arial" w:hAnsi="Arial"/>
          <w:b/>
          <w:bCs/>
          <w:color w:val="5B9BD5" w:themeColor="accent5"/>
        </w:rPr>
        <w:t>Tables for comments on Articles 26 and 27 of the EU Tariff Code</w:t>
      </w:r>
    </w:p>
    <w:p w14:paraId="015593C2" w14:textId="77777777" w:rsidR="00800953" w:rsidRDefault="00800953" w:rsidP="00800953">
      <w:pPr>
        <w:jc w:val="left"/>
        <w:rPr>
          <w:rFonts w:ascii="Arial" w:hAnsi="Arial"/>
          <w:b/>
          <w:color w:val="auto"/>
        </w:rPr>
      </w:pPr>
    </w:p>
    <w:p w14:paraId="73DA4F3D" w14:textId="1FDE62BA" w:rsidR="00800953" w:rsidRDefault="152624D1" w:rsidP="00800953">
      <w:pPr>
        <w:jc w:val="left"/>
        <w:rPr>
          <w:rFonts w:ascii="Arial" w:hAnsi="Arial"/>
          <w:b/>
          <w:color w:val="auto"/>
        </w:rPr>
      </w:pPr>
      <w:r w:rsidRPr="152624D1">
        <w:rPr>
          <w:rFonts w:ascii="Arial" w:hAnsi="Arial"/>
          <w:b/>
          <w:bCs/>
          <w:color w:val="auto"/>
        </w:rPr>
        <w:t>Template to help structure responses on Articles 26 and 27</w:t>
      </w:r>
    </w:p>
    <w:tbl>
      <w:tblPr>
        <w:tblStyle w:val="TableGrid"/>
        <w:tblW w:w="0" w:type="auto"/>
        <w:tblInd w:w="57" w:type="dxa"/>
        <w:tblLook w:val="04A0" w:firstRow="1" w:lastRow="0" w:firstColumn="1" w:lastColumn="0" w:noHBand="0" w:noVBand="1"/>
      </w:tblPr>
      <w:tblGrid>
        <w:gridCol w:w="4716"/>
        <w:gridCol w:w="4714"/>
      </w:tblGrid>
      <w:tr w:rsidR="00800953" w:rsidRPr="002665AE" w14:paraId="60519573" w14:textId="77777777" w:rsidTr="0060692A">
        <w:tc>
          <w:tcPr>
            <w:tcW w:w="4716" w:type="dxa"/>
          </w:tcPr>
          <w:p w14:paraId="0318A351" w14:textId="5E444107" w:rsidR="00800953" w:rsidRPr="00B327CF" w:rsidRDefault="00800953" w:rsidP="00FF3CCE">
            <w:pPr>
              <w:jc w:val="left"/>
              <w:rPr>
                <w:rFonts w:asciiTheme="minorHAnsi" w:hAnsiTheme="minorHAnsi" w:cs="Helvetica"/>
                <w:color w:val="auto"/>
                <w:sz w:val="20"/>
              </w:rPr>
            </w:pPr>
            <w:r w:rsidRPr="00B327CF">
              <w:rPr>
                <w:rFonts w:asciiTheme="minorHAnsi" w:hAnsiTheme="minorHAnsi" w:cs="Helvetica"/>
                <w:color w:val="auto"/>
                <w:sz w:val="20"/>
              </w:rPr>
              <w:t>Section</w:t>
            </w:r>
            <w:r w:rsidR="002665AE" w:rsidRPr="00B327CF">
              <w:rPr>
                <w:rFonts w:asciiTheme="minorHAnsi" w:hAnsiTheme="minorHAnsi" w:cs="Helvetica"/>
                <w:color w:val="auto"/>
                <w:sz w:val="20"/>
              </w:rPr>
              <w:t xml:space="preserve"> of Article 26</w:t>
            </w:r>
          </w:p>
        </w:tc>
        <w:tc>
          <w:tcPr>
            <w:tcW w:w="4714" w:type="dxa"/>
          </w:tcPr>
          <w:p w14:paraId="633E18FD" w14:textId="35BE3BF1" w:rsidR="00800953" w:rsidRPr="00B327CF" w:rsidRDefault="00800953" w:rsidP="00FF3CCE">
            <w:pPr>
              <w:jc w:val="left"/>
              <w:rPr>
                <w:rFonts w:asciiTheme="minorHAnsi" w:hAnsiTheme="minorHAnsi" w:cs="Helvetica"/>
                <w:color w:val="auto"/>
                <w:sz w:val="20"/>
              </w:rPr>
            </w:pPr>
            <w:r w:rsidRPr="00B327CF">
              <w:rPr>
                <w:rFonts w:asciiTheme="minorHAnsi" w:hAnsiTheme="minorHAnsi" w:cs="Helvetica"/>
                <w:color w:val="auto"/>
                <w:sz w:val="20"/>
              </w:rPr>
              <w:t>Comments</w:t>
            </w:r>
          </w:p>
        </w:tc>
      </w:tr>
      <w:tr w:rsidR="00800953" w:rsidRPr="00EA3D6F" w14:paraId="104E4200" w14:textId="77777777" w:rsidTr="0060692A">
        <w:tc>
          <w:tcPr>
            <w:tcW w:w="4716" w:type="dxa"/>
          </w:tcPr>
          <w:p w14:paraId="7753E3CE" w14:textId="77777777" w:rsidR="00EA3D6F" w:rsidRPr="00B327CF" w:rsidRDefault="00800953" w:rsidP="00FF3CCE">
            <w:pPr>
              <w:rPr>
                <w:rFonts w:asciiTheme="minorHAnsi" w:hAnsiTheme="minorHAnsi"/>
                <w:color w:val="auto"/>
                <w:sz w:val="20"/>
              </w:rPr>
            </w:pPr>
            <w:r w:rsidRPr="00B327CF">
              <w:rPr>
                <w:rFonts w:asciiTheme="minorHAnsi" w:hAnsiTheme="minorHAnsi"/>
                <w:color w:val="auto"/>
                <w:sz w:val="20"/>
              </w:rPr>
              <w:t xml:space="preserve">1. One or more consultations shall be carried out by the national regulatory authority or the transmission system operator(s), as decided by the national regulatory authority. To the extent possible and in order to render more effective the consultation process, the consultation document should be published in the English language. The final consultation prior to the decision referred to in Article 27(4) shall comply with the requirements set out in this Article and Article 27, and shall include the following information: </w:t>
            </w:r>
          </w:p>
          <w:p w14:paraId="214C4E58" w14:textId="77777777" w:rsidR="00EA3D6F" w:rsidRPr="00B327CF" w:rsidRDefault="00800953" w:rsidP="00FF3CCE">
            <w:pPr>
              <w:rPr>
                <w:rFonts w:asciiTheme="minorHAnsi" w:hAnsiTheme="minorHAnsi"/>
                <w:color w:val="auto"/>
                <w:sz w:val="20"/>
              </w:rPr>
            </w:pPr>
            <w:r w:rsidRPr="00B327CF">
              <w:rPr>
                <w:rFonts w:asciiTheme="minorHAnsi" w:hAnsiTheme="minorHAnsi"/>
                <w:color w:val="auto"/>
                <w:sz w:val="20"/>
              </w:rPr>
              <w:t xml:space="preserve">(a) the description of the proposed reference price methodology as well as the following items: </w:t>
            </w:r>
          </w:p>
          <w:p w14:paraId="1231CCD6" w14:textId="77777777" w:rsidR="00990C78" w:rsidRPr="00B327CF" w:rsidRDefault="00800953" w:rsidP="00FF3CCE">
            <w:pPr>
              <w:rPr>
                <w:rFonts w:asciiTheme="minorHAnsi" w:hAnsiTheme="minorHAnsi"/>
                <w:color w:val="auto"/>
                <w:sz w:val="20"/>
              </w:rPr>
            </w:pPr>
            <w:r w:rsidRPr="00B327CF">
              <w:rPr>
                <w:rFonts w:asciiTheme="minorHAnsi" w:hAnsiTheme="minorHAnsi"/>
                <w:color w:val="auto"/>
                <w:sz w:val="20"/>
              </w:rPr>
              <w:t xml:space="preserve">(i) the indicative information set out in Article 30(1)(a), including: </w:t>
            </w:r>
          </w:p>
          <w:p w14:paraId="7594E0D4" w14:textId="77777777" w:rsidR="00990C78" w:rsidRPr="00B327CF" w:rsidRDefault="00800953" w:rsidP="00990C78">
            <w:pPr>
              <w:ind w:left="720"/>
              <w:rPr>
                <w:rFonts w:asciiTheme="minorHAnsi" w:hAnsiTheme="minorHAnsi"/>
                <w:color w:val="auto"/>
                <w:sz w:val="20"/>
              </w:rPr>
            </w:pPr>
            <w:r w:rsidRPr="00B327CF">
              <w:rPr>
                <w:rFonts w:asciiTheme="minorHAnsi" w:hAnsiTheme="minorHAnsi"/>
                <w:color w:val="auto"/>
                <w:sz w:val="20"/>
              </w:rPr>
              <w:t xml:space="preserve">(1) the justification of the parameters used that are related to the technical characteristics of the system; </w:t>
            </w:r>
          </w:p>
          <w:p w14:paraId="65AFB8B9" w14:textId="46B3AA30" w:rsidR="00800953" w:rsidRPr="00B327CF" w:rsidRDefault="00800953" w:rsidP="00990C78">
            <w:pPr>
              <w:ind w:left="720"/>
              <w:rPr>
                <w:rFonts w:asciiTheme="minorHAnsi" w:hAnsiTheme="minorHAnsi"/>
                <w:color w:val="auto"/>
                <w:sz w:val="18"/>
                <w:szCs w:val="22"/>
              </w:rPr>
            </w:pPr>
            <w:r w:rsidRPr="00B327CF">
              <w:rPr>
                <w:rFonts w:asciiTheme="minorHAnsi" w:hAnsiTheme="minorHAnsi"/>
                <w:color w:val="auto"/>
                <w:sz w:val="20"/>
              </w:rPr>
              <w:t>(2) the corresponding information on the respective values of such parameters and the assumptions applied.</w:t>
            </w:r>
          </w:p>
          <w:p w14:paraId="79C1C48C" w14:textId="77777777" w:rsidR="00EA3D6F" w:rsidRPr="00B327CF" w:rsidRDefault="00800953" w:rsidP="00FF3CCE">
            <w:pPr>
              <w:rPr>
                <w:rFonts w:asciiTheme="minorHAnsi" w:hAnsiTheme="minorHAnsi"/>
                <w:color w:val="auto"/>
                <w:sz w:val="20"/>
              </w:rPr>
            </w:pPr>
            <w:r w:rsidRPr="00B327CF">
              <w:rPr>
                <w:rFonts w:asciiTheme="minorHAnsi" w:hAnsiTheme="minorHAnsi"/>
                <w:color w:val="auto"/>
                <w:sz w:val="20"/>
              </w:rPr>
              <w:t xml:space="preserve">(ii) the value of the proposed adjustments for capacity-based transmission tariffs pursuant to Article 9; </w:t>
            </w:r>
          </w:p>
          <w:p w14:paraId="5FD2D921" w14:textId="77777777" w:rsidR="00EA3D6F" w:rsidRPr="00B327CF" w:rsidRDefault="00800953" w:rsidP="00FF3CCE">
            <w:pPr>
              <w:rPr>
                <w:rFonts w:asciiTheme="minorHAnsi" w:hAnsiTheme="minorHAnsi"/>
                <w:color w:val="auto"/>
                <w:sz w:val="20"/>
              </w:rPr>
            </w:pPr>
            <w:r w:rsidRPr="00B327CF">
              <w:rPr>
                <w:rFonts w:asciiTheme="minorHAnsi" w:hAnsiTheme="minorHAnsi"/>
                <w:color w:val="auto"/>
                <w:sz w:val="20"/>
              </w:rPr>
              <w:t xml:space="preserve">(iii) the indicative reference prices subject to consultation; </w:t>
            </w:r>
          </w:p>
          <w:p w14:paraId="65E23004" w14:textId="77777777" w:rsidR="00EA3D6F" w:rsidRPr="00B327CF" w:rsidRDefault="00800953" w:rsidP="00FF3CCE">
            <w:pPr>
              <w:rPr>
                <w:rFonts w:asciiTheme="minorHAnsi" w:hAnsiTheme="minorHAnsi"/>
                <w:color w:val="auto"/>
                <w:sz w:val="20"/>
              </w:rPr>
            </w:pPr>
            <w:r w:rsidRPr="00B327CF">
              <w:rPr>
                <w:rFonts w:asciiTheme="minorHAnsi" w:hAnsiTheme="minorHAnsi"/>
                <w:color w:val="auto"/>
                <w:sz w:val="20"/>
              </w:rPr>
              <w:t xml:space="preserve">(iv) the results, the components and the details of these components for the cost allocation assessments set out in Article 5; </w:t>
            </w:r>
          </w:p>
          <w:p w14:paraId="3F13AC5E" w14:textId="77777777" w:rsidR="00EA3D6F" w:rsidRPr="00B327CF" w:rsidRDefault="00800953" w:rsidP="00FF3CCE">
            <w:pPr>
              <w:rPr>
                <w:rFonts w:asciiTheme="minorHAnsi" w:hAnsiTheme="minorHAnsi"/>
                <w:color w:val="auto"/>
                <w:sz w:val="20"/>
              </w:rPr>
            </w:pPr>
            <w:r w:rsidRPr="00B327CF">
              <w:rPr>
                <w:rFonts w:asciiTheme="minorHAnsi" w:hAnsiTheme="minorHAnsi"/>
                <w:color w:val="auto"/>
                <w:sz w:val="20"/>
              </w:rPr>
              <w:t xml:space="preserve">(v) the assessment of the proposed reference price methodology in accordance with Article 7; </w:t>
            </w:r>
          </w:p>
          <w:p w14:paraId="214E88B8" w14:textId="315904A3" w:rsidR="00800953" w:rsidRPr="00B327CF" w:rsidRDefault="00800953" w:rsidP="00FF3CCE">
            <w:pPr>
              <w:rPr>
                <w:rFonts w:asciiTheme="minorHAnsi" w:hAnsiTheme="minorHAnsi"/>
                <w:color w:val="auto"/>
                <w:sz w:val="20"/>
              </w:rPr>
            </w:pPr>
            <w:r w:rsidRPr="00B327CF">
              <w:rPr>
                <w:rFonts w:asciiTheme="minorHAnsi" w:hAnsiTheme="minorHAnsi"/>
                <w:color w:val="auto"/>
                <w:sz w:val="20"/>
              </w:rPr>
              <w:t>(vi) where the proposed reference price methodology is other than the capacity weighted distance reference price methodology detailed in Article 8, its comparison against the latter accompanied by the information set out in point (iii);</w:t>
            </w:r>
          </w:p>
        </w:tc>
        <w:tc>
          <w:tcPr>
            <w:tcW w:w="4714" w:type="dxa"/>
          </w:tcPr>
          <w:p w14:paraId="5CDFC9D1" w14:textId="77777777" w:rsidR="00800953" w:rsidRPr="00B327CF" w:rsidRDefault="00800953" w:rsidP="00FF3CCE">
            <w:pPr>
              <w:jc w:val="left"/>
              <w:rPr>
                <w:rFonts w:asciiTheme="minorHAnsi" w:hAnsiTheme="minorHAnsi" w:cs="Helvetica"/>
                <w:color w:val="auto"/>
                <w:sz w:val="20"/>
              </w:rPr>
            </w:pPr>
          </w:p>
        </w:tc>
      </w:tr>
      <w:tr w:rsidR="00800953" w:rsidRPr="00EA3D6F" w14:paraId="15E95E11" w14:textId="77777777" w:rsidTr="0060692A">
        <w:tc>
          <w:tcPr>
            <w:tcW w:w="4716" w:type="dxa"/>
          </w:tcPr>
          <w:p w14:paraId="2546C322" w14:textId="77777777" w:rsidR="00800953" w:rsidRPr="00B327CF" w:rsidRDefault="00800953" w:rsidP="00FF3CCE">
            <w:pPr>
              <w:jc w:val="left"/>
              <w:rPr>
                <w:rFonts w:asciiTheme="minorHAnsi" w:hAnsiTheme="minorHAnsi" w:cs="Helvetica"/>
                <w:color w:val="auto"/>
                <w:sz w:val="20"/>
              </w:rPr>
            </w:pPr>
            <w:r w:rsidRPr="00B327CF">
              <w:rPr>
                <w:rFonts w:asciiTheme="minorHAnsi" w:hAnsiTheme="minorHAnsi"/>
                <w:color w:val="auto"/>
                <w:sz w:val="20"/>
              </w:rPr>
              <w:t>(b) the indicative information set out in Article 30(1)(b)(i), (iv), (v);</w:t>
            </w:r>
          </w:p>
        </w:tc>
        <w:tc>
          <w:tcPr>
            <w:tcW w:w="4714" w:type="dxa"/>
          </w:tcPr>
          <w:p w14:paraId="26B8AD9E" w14:textId="77777777" w:rsidR="00800953" w:rsidRPr="00B327CF" w:rsidRDefault="00800953" w:rsidP="00FF3CCE">
            <w:pPr>
              <w:jc w:val="left"/>
              <w:rPr>
                <w:rFonts w:asciiTheme="minorHAnsi" w:hAnsiTheme="minorHAnsi" w:cs="Helvetica"/>
                <w:color w:val="auto"/>
                <w:sz w:val="20"/>
              </w:rPr>
            </w:pPr>
          </w:p>
        </w:tc>
      </w:tr>
      <w:tr w:rsidR="00800953" w:rsidRPr="00EA3D6F" w14:paraId="658DAEE9" w14:textId="77777777" w:rsidTr="0060692A">
        <w:tc>
          <w:tcPr>
            <w:tcW w:w="4716" w:type="dxa"/>
          </w:tcPr>
          <w:p w14:paraId="54F4AE4C" w14:textId="77777777" w:rsidR="00EA3D6F" w:rsidRPr="00B327CF" w:rsidRDefault="00800953" w:rsidP="00FF3CCE">
            <w:pPr>
              <w:jc w:val="left"/>
              <w:rPr>
                <w:rFonts w:asciiTheme="minorHAnsi" w:hAnsiTheme="minorHAnsi"/>
                <w:color w:val="auto"/>
                <w:sz w:val="20"/>
              </w:rPr>
            </w:pPr>
            <w:r w:rsidRPr="00B327CF">
              <w:rPr>
                <w:rFonts w:asciiTheme="minorHAnsi" w:hAnsiTheme="minorHAnsi"/>
                <w:color w:val="auto"/>
                <w:sz w:val="20"/>
              </w:rPr>
              <w:t xml:space="preserve">(c) the following information on transmission and non-transmission tariffs: </w:t>
            </w:r>
          </w:p>
          <w:p w14:paraId="3C633DF5" w14:textId="77777777" w:rsidR="00990C78" w:rsidRPr="00B327CF" w:rsidRDefault="00800953" w:rsidP="00FF3CCE">
            <w:pPr>
              <w:jc w:val="left"/>
              <w:rPr>
                <w:rFonts w:asciiTheme="minorHAnsi" w:hAnsiTheme="minorHAnsi"/>
                <w:color w:val="auto"/>
                <w:sz w:val="20"/>
              </w:rPr>
            </w:pPr>
            <w:r w:rsidRPr="00B327CF">
              <w:rPr>
                <w:rFonts w:asciiTheme="minorHAnsi" w:hAnsiTheme="minorHAnsi"/>
                <w:color w:val="auto"/>
                <w:sz w:val="20"/>
              </w:rPr>
              <w:lastRenderedPageBreak/>
              <w:t xml:space="preserve">(i) where commodity-based transmission tariffs referred to in Article 4(3) are proposed: </w:t>
            </w:r>
          </w:p>
          <w:p w14:paraId="6AA2AB73" w14:textId="77777777" w:rsidR="00990C78" w:rsidRPr="00B327CF" w:rsidRDefault="00800953" w:rsidP="00990C78">
            <w:pPr>
              <w:ind w:left="720"/>
              <w:jc w:val="left"/>
              <w:rPr>
                <w:rFonts w:asciiTheme="minorHAnsi" w:hAnsiTheme="minorHAnsi"/>
                <w:color w:val="auto"/>
                <w:sz w:val="20"/>
              </w:rPr>
            </w:pPr>
            <w:r w:rsidRPr="00B327CF">
              <w:rPr>
                <w:rFonts w:asciiTheme="minorHAnsi" w:hAnsiTheme="minorHAnsi"/>
                <w:color w:val="auto"/>
                <w:sz w:val="20"/>
              </w:rPr>
              <w:t xml:space="preserve">(1) the manner in which they are set; </w:t>
            </w:r>
          </w:p>
          <w:p w14:paraId="5543CAC2" w14:textId="77777777" w:rsidR="00990C78" w:rsidRPr="00B327CF" w:rsidRDefault="00800953" w:rsidP="00990C78">
            <w:pPr>
              <w:ind w:left="720"/>
              <w:jc w:val="left"/>
              <w:rPr>
                <w:rFonts w:asciiTheme="minorHAnsi" w:hAnsiTheme="minorHAnsi"/>
                <w:color w:val="auto"/>
                <w:sz w:val="20"/>
              </w:rPr>
            </w:pPr>
            <w:r w:rsidRPr="00B327CF">
              <w:rPr>
                <w:rFonts w:asciiTheme="minorHAnsi" w:hAnsiTheme="minorHAnsi"/>
                <w:color w:val="auto"/>
                <w:sz w:val="20"/>
              </w:rPr>
              <w:t xml:space="preserve">(2) the share of the allowed or target revenue forecasted to be recovered from such tariffs; </w:t>
            </w:r>
          </w:p>
          <w:p w14:paraId="7A6ADE8A" w14:textId="7D9842B3" w:rsidR="00EA3D6F" w:rsidRPr="00B327CF" w:rsidRDefault="00800953" w:rsidP="00990C78">
            <w:pPr>
              <w:ind w:left="720"/>
              <w:jc w:val="left"/>
              <w:rPr>
                <w:rFonts w:asciiTheme="minorHAnsi" w:hAnsiTheme="minorHAnsi"/>
                <w:color w:val="auto"/>
                <w:sz w:val="20"/>
              </w:rPr>
            </w:pPr>
            <w:r w:rsidRPr="00B327CF">
              <w:rPr>
                <w:rFonts w:asciiTheme="minorHAnsi" w:hAnsiTheme="minorHAnsi"/>
                <w:color w:val="auto"/>
                <w:sz w:val="20"/>
              </w:rPr>
              <w:t xml:space="preserve">(3) the indicative commodity-based transmission tariffs; </w:t>
            </w:r>
          </w:p>
          <w:p w14:paraId="6CF8C3CC" w14:textId="77777777" w:rsidR="00990C78" w:rsidRPr="00B327CF" w:rsidRDefault="00800953" w:rsidP="00FF3CCE">
            <w:pPr>
              <w:jc w:val="left"/>
              <w:rPr>
                <w:rFonts w:asciiTheme="minorHAnsi" w:hAnsiTheme="minorHAnsi"/>
                <w:color w:val="auto"/>
                <w:sz w:val="20"/>
              </w:rPr>
            </w:pPr>
            <w:r w:rsidRPr="00B327CF">
              <w:rPr>
                <w:rFonts w:asciiTheme="minorHAnsi" w:hAnsiTheme="minorHAnsi"/>
                <w:color w:val="auto"/>
                <w:sz w:val="20"/>
              </w:rPr>
              <w:t xml:space="preserve">(ii) where non-transmission services provided to network users are proposed: </w:t>
            </w:r>
          </w:p>
          <w:p w14:paraId="2BB47DF5" w14:textId="77777777" w:rsidR="00990C78" w:rsidRPr="00B327CF" w:rsidRDefault="00800953" w:rsidP="00990C78">
            <w:pPr>
              <w:ind w:left="720"/>
              <w:jc w:val="left"/>
              <w:rPr>
                <w:rFonts w:asciiTheme="minorHAnsi" w:hAnsiTheme="minorHAnsi"/>
                <w:color w:val="auto"/>
                <w:sz w:val="20"/>
              </w:rPr>
            </w:pPr>
            <w:r w:rsidRPr="00B327CF">
              <w:rPr>
                <w:rFonts w:asciiTheme="minorHAnsi" w:hAnsiTheme="minorHAnsi"/>
                <w:color w:val="auto"/>
                <w:sz w:val="20"/>
              </w:rPr>
              <w:t xml:space="preserve">(1) the non-transmission service tariff methodology therefor; </w:t>
            </w:r>
          </w:p>
          <w:p w14:paraId="27775438" w14:textId="77777777" w:rsidR="00990C78" w:rsidRPr="00B327CF" w:rsidRDefault="00800953" w:rsidP="00990C78">
            <w:pPr>
              <w:ind w:left="720"/>
              <w:jc w:val="left"/>
              <w:rPr>
                <w:rFonts w:asciiTheme="minorHAnsi" w:hAnsiTheme="minorHAnsi"/>
                <w:color w:val="auto"/>
                <w:sz w:val="20"/>
              </w:rPr>
            </w:pPr>
            <w:r w:rsidRPr="00B327CF">
              <w:rPr>
                <w:rFonts w:asciiTheme="minorHAnsi" w:hAnsiTheme="minorHAnsi"/>
                <w:color w:val="auto"/>
                <w:sz w:val="20"/>
              </w:rPr>
              <w:t xml:space="preserve">(2) the share of the allowed or target revenue forecasted to be recovered from such tariffs; </w:t>
            </w:r>
          </w:p>
          <w:p w14:paraId="5578D303" w14:textId="77777777" w:rsidR="00990C78" w:rsidRPr="00B327CF" w:rsidRDefault="00800953" w:rsidP="00990C78">
            <w:pPr>
              <w:ind w:left="720"/>
              <w:jc w:val="left"/>
              <w:rPr>
                <w:rFonts w:asciiTheme="minorHAnsi" w:hAnsiTheme="minorHAnsi"/>
                <w:color w:val="auto"/>
                <w:sz w:val="20"/>
              </w:rPr>
            </w:pPr>
            <w:r w:rsidRPr="00B327CF">
              <w:rPr>
                <w:rFonts w:asciiTheme="minorHAnsi" w:hAnsiTheme="minorHAnsi"/>
                <w:color w:val="auto"/>
                <w:sz w:val="20"/>
              </w:rPr>
              <w:t xml:space="preserve">(3) the manner in which the associated non-transmission services revenue is reconciled as referred to in Article 17(3); </w:t>
            </w:r>
          </w:p>
          <w:p w14:paraId="34CA7995" w14:textId="27E69F45" w:rsidR="00800953" w:rsidRPr="00B327CF" w:rsidRDefault="00800953" w:rsidP="00990C78">
            <w:pPr>
              <w:ind w:left="720"/>
              <w:jc w:val="left"/>
              <w:rPr>
                <w:rFonts w:asciiTheme="minorHAnsi" w:hAnsiTheme="minorHAnsi" w:cs="Helvetica"/>
                <w:color w:val="auto"/>
                <w:sz w:val="20"/>
              </w:rPr>
            </w:pPr>
            <w:r w:rsidRPr="00B327CF">
              <w:rPr>
                <w:rFonts w:asciiTheme="minorHAnsi" w:hAnsiTheme="minorHAnsi"/>
                <w:color w:val="auto"/>
                <w:sz w:val="20"/>
              </w:rPr>
              <w:t>(4) the indicative non-transmission tariffs for non-transmission services provided to network users;</w:t>
            </w:r>
          </w:p>
        </w:tc>
        <w:tc>
          <w:tcPr>
            <w:tcW w:w="4714" w:type="dxa"/>
          </w:tcPr>
          <w:p w14:paraId="56A726F0" w14:textId="77777777" w:rsidR="00800953" w:rsidRPr="00B327CF" w:rsidRDefault="00800953" w:rsidP="00FF3CCE">
            <w:pPr>
              <w:jc w:val="left"/>
              <w:rPr>
                <w:rFonts w:asciiTheme="minorHAnsi" w:hAnsiTheme="minorHAnsi" w:cs="Helvetica"/>
                <w:color w:val="auto"/>
                <w:sz w:val="20"/>
              </w:rPr>
            </w:pPr>
          </w:p>
        </w:tc>
      </w:tr>
      <w:tr w:rsidR="00800953" w:rsidRPr="00EA3D6F" w14:paraId="182639BA" w14:textId="77777777" w:rsidTr="0060692A">
        <w:tc>
          <w:tcPr>
            <w:tcW w:w="4716" w:type="dxa"/>
          </w:tcPr>
          <w:p w14:paraId="077C05CD" w14:textId="77777777" w:rsidR="00800953" w:rsidRPr="00B327CF" w:rsidRDefault="00800953" w:rsidP="00FF3CCE">
            <w:pPr>
              <w:jc w:val="left"/>
              <w:rPr>
                <w:rFonts w:asciiTheme="minorHAnsi" w:hAnsiTheme="minorHAnsi" w:cs="Helvetica"/>
                <w:color w:val="auto"/>
                <w:sz w:val="20"/>
              </w:rPr>
            </w:pPr>
            <w:r w:rsidRPr="00B327CF">
              <w:rPr>
                <w:rFonts w:asciiTheme="minorHAnsi" w:hAnsiTheme="minorHAnsi"/>
                <w:color w:val="auto"/>
                <w:sz w:val="20"/>
              </w:rPr>
              <w:t>(d) the indicative information set out in Article 30(2);</w:t>
            </w:r>
          </w:p>
        </w:tc>
        <w:tc>
          <w:tcPr>
            <w:tcW w:w="4714" w:type="dxa"/>
          </w:tcPr>
          <w:p w14:paraId="3BF74531" w14:textId="77777777" w:rsidR="00800953" w:rsidRPr="00B327CF" w:rsidRDefault="00800953" w:rsidP="00FF3CCE">
            <w:pPr>
              <w:jc w:val="left"/>
              <w:rPr>
                <w:rFonts w:asciiTheme="minorHAnsi" w:hAnsiTheme="minorHAnsi" w:cs="Helvetica"/>
                <w:color w:val="auto"/>
                <w:sz w:val="20"/>
              </w:rPr>
            </w:pPr>
          </w:p>
        </w:tc>
      </w:tr>
      <w:tr w:rsidR="00800953" w:rsidRPr="00EA3D6F" w14:paraId="47AF60AD" w14:textId="77777777" w:rsidTr="0060692A">
        <w:tc>
          <w:tcPr>
            <w:tcW w:w="4716" w:type="dxa"/>
          </w:tcPr>
          <w:p w14:paraId="1A714A94" w14:textId="77777777" w:rsidR="00EA3D6F" w:rsidRPr="00B327CF" w:rsidRDefault="00800953" w:rsidP="00FF3CCE">
            <w:pPr>
              <w:jc w:val="left"/>
              <w:rPr>
                <w:rFonts w:asciiTheme="minorHAnsi" w:hAnsiTheme="minorHAnsi"/>
                <w:color w:val="auto"/>
                <w:sz w:val="20"/>
              </w:rPr>
            </w:pPr>
            <w:r w:rsidRPr="00B327CF">
              <w:rPr>
                <w:rFonts w:asciiTheme="minorHAnsi" w:hAnsiTheme="minorHAnsi"/>
                <w:color w:val="auto"/>
                <w:sz w:val="20"/>
              </w:rPr>
              <w:t xml:space="preserve">(e) where the fixed payable price approach referred to in Article 24(b) is considered to be offered under a price cap regime for existing capacity: </w:t>
            </w:r>
          </w:p>
          <w:p w14:paraId="3E6ECCEB" w14:textId="77777777" w:rsidR="00EA3D6F" w:rsidRPr="00B327CF" w:rsidRDefault="00800953" w:rsidP="00FF3CCE">
            <w:pPr>
              <w:jc w:val="left"/>
              <w:rPr>
                <w:rFonts w:asciiTheme="minorHAnsi" w:hAnsiTheme="minorHAnsi"/>
                <w:color w:val="auto"/>
                <w:sz w:val="20"/>
              </w:rPr>
            </w:pPr>
            <w:r w:rsidRPr="00B327CF">
              <w:rPr>
                <w:rFonts w:asciiTheme="minorHAnsi" w:hAnsiTheme="minorHAnsi"/>
                <w:color w:val="auto"/>
                <w:sz w:val="20"/>
              </w:rPr>
              <w:t xml:space="preserve">(i) the proposed index; </w:t>
            </w:r>
          </w:p>
          <w:p w14:paraId="232CC7FB" w14:textId="77777777" w:rsidR="00EA3D6F" w:rsidRPr="00B327CF" w:rsidRDefault="00800953" w:rsidP="00FF3CCE">
            <w:pPr>
              <w:jc w:val="left"/>
              <w:rPr>
                <w:rFonts w:asciiTheme="minorHAnsi" w:hAnsiTheme="minorHAnsi"/>
                <w:color w:val="auto"/>
                <w:sz w:val="20"/>
              </w:rPr>
            </w:pPr>
            <w:r w:rsidRPr="00B327CF">
              <w:rPr>
                <w:rFonts w:asciiTheme="minorHAnsi" w:hAnsiTheme="minorHAnsi"/>
                <w:color w:val="auto"/>
                <w:sz w:val="20"/>
              </w:rPr>
              <w:t xml:space="preserve">(ii) the proposed calculation and how the revenue derived from the risk premium is used; </w:t>
            </w:r>
          </w:p>
          <w:p w14:paraId="1E7C84BC" w14:textId="77777777" w:rsidR="00EA3D6F" w:rsidRPr="00B327CF" w:rsidRDefault="00800953" w:rsidP="00FF3CCE">
            <w:pPr>
              <w:jc w:val="left"/>
              <w:rPr>
                <w:rFonts w:asciiTheme="minorHAnsi" w:hAnsiTheme="minorHAnsi"/>
                <w:color w:val="auto"/>
                <w:sz w:val="20"/>
              </w:rPr>
            </w:pPr>
            <w:r w:rsidRPr="00B327CF">
              <w:rPr>
                <w:rFonts w:asciiTheme="minorHAnsi" w:hAnsiTheme="minorHAnsi"/>
                <w:color w:val="auto"/>
                <w:sz w:val="20"/>
              </w:rPr>
              <w:t xml:space="preserve">(iii) at which interconnection point(s) and for which tariff period(s) such approach is proposed; </w:t>
            </w:r>
          </w:p>
          <w:p w14:paraId="0D814EA5" w14:textId="0800B716" w:rsidR="00800953" w:rsidRPr="00B327CF" w:rsidRDefault="00800953" w:rsidP="00FF3CCE">
            <w:pPr>
              <w:jc w:val="left"/>
              <w:rPr>
                <w:rFonts w:asciiTheme="minorHAnsi" w:hAnsiTheme="minorHAnsi" w:cs="Helvetica"/>
                <w:color w:val="auto"/>
                <w:sz w:val="20"/>
              </w:rPr>
            </w:pPr>
            <w:r w:rsidRPr="00B327CF">
              <w:rPr>
                <w:rFonts w:asciiTheme="minorHAnsi" w:hAnsiTheme="minorHAnsi"/>
                <w:color w:val="auto"/>
                <w:sz w:val="20"/>
              </w:rPr>
              <w:t>(iv) the process of offering capacity at an interconnection point where both fixed and floating payable price approaches referred to in Article 24 are proposed.</w:t>
            </w:r>
          </w:p>
        </w:tc>
        <w:tc>
          <w:tcPr>
            <w:tcW w:w="4714" w:type="dxa"/>
          </w:tcPr>
          <w:p w14:paraId="34B2BAA7" w14:textId="77777777" w:rsidR="00800953" w:rsidRPr="00B327CF" w:rsidRDefault="00800953" w:rsidP="00FF3CCE">
            <w:pPr>
              <w:jc w:val="left"/>
              <w:rPr>
                <w:rFonts w:asciiTheme="minorHAnsi" w:hAnsiTheme="minorHAnsi" w:cs="Helvetica"/>
                <w:color w:val="auto"/>
                <w:sz w:val="20"/>
              </w:rPr>
            </w:pPr>
          </w:p>
        </w:tc>
      </w:tr>
      <w:tr w:rsidR="00800953" w:rsidRPr="00EA3D6F" w14:paraId="364377E2" w14:textId="77777777" w:rsidTr="0060692A">
        <w:tc>
          <w:tcPr>
            <w:tcW w:w="4716" w:type="dxa"/>
          </w:tcPr>
          <w:p w14:paraId="2E1C95AE" w14:textId="77777777" w:rsidR="00800953" w:rsidRPr="00B327CF" w:rsidRDefault="00800953" w:rsidP="00FF3CCE">
            <w:pPr>
              <w:jc w:val="left"/>
              <w:rPr>
                <w:rFonts w:asciiTheme="minorHAnsi" w:hAnsiTheme="minorHAnsi" w:cs="Helvetica"/>
                <w:color w:val="auto"/>
                <w:sz w:val="20"/>
              </w:rPr>
            </w:pPr>
            <w:r w:rsidRPr="00B327CF">
              <w:rPr>
                <w:rFonts w:asciiTheme="minorHAnsi" w:hAnsiTheme="minorHAnsi"/>
                <w:color w:val="auto"/>
                <w:sz w:val="20"/>
              </w:rPr>
              <w:t>2. The final consultation prior to the decision referred to in Article 27(4) shall be open for at least two months. Consultation documents for any of the consultations referred to in paragraph 1 may require that replies submitted in response to the consultation shall include a non-confidential version suitable for publication.</w:t>
            </w:r>
          </w:p>
        </w:tc>
        <w:tc>
          <w:tcPr>
            <w:tcW w:w="4714" w:type="dxa"/>
          </w:tcPr>
          <w:p w14:paraId="19A6FCF8" w14:textId="77777777" w:rsidR="00800953" w:rsidRPr="00B327CF" w:rsidRDefault="00800953" w:rsidP="00FF3CCE">
            <w:pPr>
              <w:jc w:val="left"/>
              <w:rPr>
                <w:rFonts w:asciiTheme="minorHAnsi" w:hAnsiTheme="minorHAnsi" w:cs="Helvetica"/>
                <w:color w:val="auto"/>
                <w:sz w:val="20"/>
              </w:rPr>
            </w:pPr>
          </w:p>
        </w:tc>
      </w:tr>
      <w:tr w:rsidR="00800953" w:rsidRPr="00EA3D6F" w14:paraId="613E322E" w14:textId="77777777" w:rsidTr="0060692A">
        <w:tc>
          <w:tcPr>
            <w:tcW w:w="4716" w:type="dxa"/>
          </w:tcPr>
          <w:p w14:paraId="555ADF02" w14:textId="77777777" w:rsidR="00800953" w:rsidRPr="00B327CF" w:rsidRDefault="00800953" w:rsidP="00FF3CCE">
            <w:pPr>
              <w:jc w:val="left"/>
              <w:rPr>
                <w:rFonts w:asciiTheme="minorHAnsi" w:hAnsiTheme="minorHAnsi" w:cs="Helvetica"/>
                <w:color w:val="auto"/>
                <w:sz w:val="20"/>
              </w:rPr>
            </w:pPr>
            <w:r w:rsidRPr="00B327CF">
              <w:rPr>
                <w:rFonts w:asciiTheme="minorHAnsi" w:hAnsiTheme="minorHAnsi"/>
                <w:color w:val="auto"/>
                <w:sz w:val="20"/>
              </w:rPr>
              <w:t xml:space="preserve">3. Within one month following the end of the consultation, the transmission system operator(s) or </w:t>
            </w:r>
            <w:r w:rsidRPr="00B327CF">
              <w:rPr>
                <w:rFonts w:asciiTheme="minorHAnsi" w:hAnsiTheme="minorHAnsi"/>
                <w:color w:val="auto"/>
                <w:sz w:val="20"/>
              </w:rPr>
              <w:lastRenderedPageBreak/>
              <w:t>the national regulatory authority, depending on the entity that publishes the consultation document referred to in paragraph 1, shall publish the consultation responses received and their summary. To the extent possible and in order to render more effective the consultation process, the summary should be provided in the English language.</w:t>
            </w:r>
          </w:p>
        </w:tc>
        <w:tc>
          <w:tcPr>
            <w:tcW w:w="4714" w:type="dxa"/>
          </w:tcPr>
          <w:p w14:paraId="1A2A3BA0" w14:textId="77777777" w:rsidR="00800953" w:rsidRPr="00B327CF" w:rsidRDefault="00800953" w:rsidP="00FF3CCE">
            <w:pPr>
              <w:jc w:val="left"/>
              <w:rPr>
                <w:rFonts w:asciiTheme="minorHAnsi" w:hAnsiTheme="minorHAnsi" w:cs="Helvetica"/>
                <w:color w:val="auto"/>
                <w:sz w:val="20"/>
              </w:rPr>
            </w:pPr>
          </w:p>
        </w:tc>
      </w:tr>
      <w:tr w:rsidR="00800953" w:rsidRPr="00EA3D6F" w14:paraId="43845501" w14:textId="77777777" w:rsidTr="0060692A">
        <w:tc>
          <w:tcPr>
            <w:tcW w:w="4716" w:type="dxa"/>
          </w:tcPr>
          <w:p w14:paraId="2A17EC5F" w14:textId="77777777" w:rsidR="00800953" w:rsidRPr="00B327CF" w:rsidRDefault="00800953" w:rsidP="00FF3CCE">
            <w:pPr>
              <w:jc w:val="left"/>
              <w:rPr>
                <w:rFonts w:asciiTheme="minorHAnsi" w:hAnsiTheme="minorHAnsi" w:cs="Helvetica"/>
                <w:color w:val="auto"/>
                <w:sz w:val="20"/>
              </w:rPr>
            </w:pPr>
            <w:r w:rsidRPr="00B327CF">
              <w:rPr>
                <w:rFonts w:asciiTheme="minorHAnsi" w:hAnsiTheme="minorHAnsi"/>
                <w:color w:val="auto"/>
                <w:sz w:val="20"/>
              </w:rPr>
              <w:t>4. The subsequent periodic consultations shall be conducted in accordance with Article 27(5).</w:t>
            </w:r>
          </w:p>
        </w:tc>
        <w:tc>
          <w:tcPr>
            <w:tcW w:w="4714" w:type="dxa"/>
          </w:tcPr>
          <w:p w14:paraId="72D3D44C" w14:textId="77777777" w:rsidR="00800953" w:rsidRPr="00B327CF" w:rsidRDefault="00800953" w:rsidP="00FF3CCE">
            <w:pPr>
              <w:jc w:val="left"/>
              <w:rPr>
                <w:rFonts w:asciiTheme="minorHAnsi" w:hAnsiTheme="minorHAnsi" w:cs="Helvetica"/>
                <w:color w:val="auto"/>
                <w:sz w:val="20"/>
              </w:rPr>
            </w:pPr>
          </w:p>
        </w:tc>
      </w:tr>
      <w:tr w:rsidR="00800953" w:rsidRPr="00EA3D6F" w14:paraId="2D7B1FC5" w14:textId="77777777" w:rsidTr="0060692A">
        <w:tc>
          <w:tcPr>
            <w:tcW w:w="4716" w:type="dxa"/>
          </w:tcPr>
          <w:p w14:paraId="46BDE8B2" w14:textId="77777777" w:rsidR="00800953" w:rsidRPr="00B327CF" w:rsidRDefault="00800953" w:rsidP="00FF3CCE">
            <w:pPr>
              <w:jc w:val="left"/>
              <w:rPr>
                <w:rFonts w:asciiTheme="minorHAnsi" w:hAnsiTheme="minorHAnsi" w:cs="Helvetica"/>
                <w:color w:val="auto"/>
                <w:sz w:val="20"/>
              </w:rPr>
            </w:pPr>
            <w:r w:rsidRPr="00B327CF">
              <w:rPr>
                <w:rFonts w:asciiTheme="minorHAnsi" w:hAnsiTheme="minorHAnsi"/>
                <w:color w:val="auto"/>
                <w:sz w:val="20"/>
              </w:rPr>
              <w:t>5. After consulting the European Network of Transmission System Operators for Gas (hereinafter ‘ENTSOG’), the Agency shall develop a template for the consultation document referred to in paragraph 1. The template shall be made available to national regulatory authorities and transmission system operators before 5 July 2017.</w:t>
            </w:r>
          </w:p>
        </w:tc>
        <w:tc>
          <w:tcPr>
            <w:tcW w:w="4714" w:type="dxa"/>
          </w:tcPr>
          <w:p w14:paraId="7E94CCA0" w14:textId="77777777" w:rsidR="00800953" w:rsidRPr="00B327CF" w:rsidRDefault="00800953" w:rsidP="00FF3CCE">
            <w:pPr>
              <w:jc w:val="left"/>
              <w:rPr>
                <w:rFonts w:asciiTheme="minorHAnsi" w:hAnsiTheme="minorHAnsi" w:cs="Helvetica"/>
                <w:color w:val="auto"/>
                <w:sz w:val="20"/>
              </w:rPr>
            </w:pPr>
          </w:p>
        </w:tc>
      </w:tr>
    </w:tbl>
    <w:p w14:paraId="7E4C16EB" w14:textId="05A7853D" w:rsidR="00800953" w:rsidRPr="00EA3D6F" w:rsidRDefault="00800953" w:rsidP="002665AE">
      <w:pPr>
        <w:jc w:val="left"/>
        <w:rPr>
          <w:rFonts w:ascii="Arial" w:hAnsi="Arial" w:cs="Helvetica"/>
          <w:color w:val="auto"/>
          <w:sz w:val="20"/>
        </w:rPr>
      </w:pPr>
    </w:p>
    <w:tbl>
      <w:tblPr>
        <w:tblStyle w:val="TableGrid"/>
        <w:tblW w:w="0" w:type="auto"/>
        <w:tblInd w:w="57" w:type="dxa"/>
        <w:tblLook w:val="04A0" w:firstRow="1" w:lastRow="0" w:firstColumn="1" w:lastColumn="0" w:noHBand="0" w:noVBand="1"/>
      </w:tblPr>
      <w:tblGrid>
        <w:gridCol w:w="4719"/>
        <w:gridCol w:w="4711"/>
      </w:tblGrid>
      <w:tr w:rsidR="00800953" w:rsidRPr="00EA3D6F" w14:paraId="06C5F63A" w14:textId="77777777" w:rsidTr="00FF3CCE">
        <w:tc>
          <w:tcPr>
            <w:tcW w:w="4743" w:type="dxa"/>
          </w:tcPr>
          <w:p w14:paraId="48182EAE" w14:textId="1FE58A5D" w:rsidR="00800953" w:rsidRPr="006A458F" w:rsidRDefault="00800953" w:rsidP="00FF3CCE">
            <w:pPr>
              <w:jc w:val="left"/>
              <w:rPr>
                <w:rFonts w:asciiTheme="minorHAnsi" w:hAnsiTheme="minorHAnsi" w:cs="Helvetica"/>
                <w:color w:val="auto"/>
                <w:sz w:val="20"/>
              </w:rPr>
            </w:pPr>
            <w:r w:rsidRPr="006A458F">
              <w:rPr>
                <w:rFonts w:asciiTheme="minorHAnsi" w:hAnsiTheme="minorHAnsi" w:cs="Helvetica"/>
                <w:color w:val="auto"/>
                <w:sz w:val="20"/>
              </w:rPr>
              <w:t>Section</w:t>
            </w:r>
            <w:r w:rsidR="00990C78" w:rsidRPr="006A458F">
              <w:rPr>
                <w:rFonts w:asciiTheme="minorHAnsi" w:hAnsiTheme="minorHAnsi" w:cs="Helvetica"/>
                <w:color w:val="auto"/>
                <w:sz w:val="20"/>
              </w:rPr>
              <w:t xml:space="preserve"> of Article 27</w:t>
            </w:r>
          </w:p>
        </w:tc>
        <w:tc>
          <w:tcPr>
            <w:tcW w:w="4744" w:type="dxa"/>
          </w:tcPr>
          <w:p w14:paraId="62C3A60C" w14:textId="77777777" w:rsidR="00800953" w:rsidRPr="006A458F" w:rsidRDefault="00800953" w:rsidP="00FF3CCE">
            <w:pPr>
              <w:jc w:val="left"/>
              <w:rPr>
                <w:rFonts w:asciiTheme="minorHAnsi" w:hAnsiTheme="minorHAnsi" w:cs="Helvetica"/>
                <w:color w:val="auto"/>
                <w:sz w:val="20"/>
              </w:rPr>
            </w:pPr>
            <w:r w:rsidRPr="006A458F">
              <w:rPr>
                <w:rFonts w:asciiTheme="minorHAnsi" w:hAnsiTheme="minorHAnsi" w:cs="Helvetica"/>
                <w:color w:val="auto"/>
                <w:sz w:val="20"/>
              </w:rPr>
              <w:t>Comments</w:t>
            </w:r>
          </w:p>
        </w:tc>
      </w:tr>
      <w:tr w:rsidR="00800953" w:rsidRPr="00EA3D6F" w14:paraId="21E84E13" w14:textId="77777777" w:rsidTr="00FF3CCE">
        <w:tc>
          <w:tcPr>
            <w:tcW w:w="4743" w:type="dxa"/>
          </w:tcPr>
          <w:p w14:paraId="7383B6B4" w14:textId="77777777" w:rsidR="00800953" w:rsidRPr="006A458F" w:rsidRDefault="00800953" w:rsidP="00FF3CCE">
            <w:pPr>
              <w:jc w:val="left"/>
              <w:rPr>
                <w:rFonts w:asciiTheme="minorHAnsi" w:hAnsiTheme="minorHAnsi" w:cs="Helvetica"/>
                <w:color w:val="auto"/>
                <w:sz w:val="20"/>
              </w:rPr>
            </w:pPr>
            <w:r w:rsidRPr="006A458F">
              <w:rPr>
                <w:rFonts w:asciiTheme="minorHAnsi" w:hAnsiTheme="minorHAnsi"/>
                <w:color w:val="auto"/>
                <w:sz w:val="20"/>
              </w:rPr>
              <w:t>1. Upon launching the final consultation pursuant to Article 26 prior to the decision referred to in Article 27(4), the national regulatory authority or the transmission system operator(s), as decided by the national regulatory authority, shall forward the consultation documents to the Agency.</w:t>
            </w:r>
          </w:p>
        </w:tc>
        <w:tc>
          <w:tcPr>
            <w:tcW w:w="4744" w:type="dxa"/>
          </w:tcPr>
          <w:p w14:paraId="1F051AF8" w14:textId="77777777" w:rsidR="00800953" w:rsidRPr="006A458F" w:rsidRDefault="00800953" w:rsidP="00FF3CCE">
            <w:pPr>
              <w:jc w:val="left"/>
              <w:rPr>
                <w:rFonts w:asciiTheme="minorHAnsi" w:hAnsiTheme="minorHAnsi" w:cs="Helvetica"/>
                <w:color w:val="auto"/>
                <w:sz w:val="20"/>
              </w:rPr>
            </w:pPr>
          </w:p>
        </w:tc>
      </w:tr>
      <w:tr w:rsidR="00800953" w:rsidRPr="00EA3D6F" w14:paraId="29409566" w14:textId="77777777" w:rsidTr="00FF3CCE">
        <w:tc>
          <w:tcPr>
            <w:tcW w:w="4743" w:type="dxa"/>
          </w:tcPr>
          <w:p w14:paraId="704DD437" w14:textId="77777777" w:rsidR="00EA3D6F" w:rsidRPr="006A458F" w:rsidRDefault="00800953" w:rsidP="00FF3CCE">
            <w:pPr>
              <w:jc w:val="left"/>
              <w:rPr>
                <w:rFonts w:asciiTheme="minorHAnsi" w:hAnsiTheme="minorHAnsi"/>
                <w:color w:val="auto"/>
                <w:sz w:val="20"/>
              </w:rPr>
            </w:pPr>
            <w:r w:rsidRPr="006A458F">
              <w:rPr>
                <w:rFonts w:asciiTheme="minorHAnsi" w:hAnsiTheme="minorHAnsi"/>
                <w:color w:val="auto"/>
                <w:sz w:val="20"/>
              </w:rPr>
              <w:t xml:space="preserve">2. The Agency shall analyse the following aspects of the consultation document: </w:t>
            </w:r>
          </w:p>
          <w:p w14:paraId="058BE081" w14:textId="77777777" w:rsidR="00EA3D6F" w:rsidRPr="006A458F" w:rsidRDefault="00800953" w:rsidP="00FF3CCE">
            <w:pPr>
              <w:jc w:val="left"/>
              <w:rPr>
                <w:rFonts w:asciiTheme="minorHAnsi" w:hAnsiTheme="minorHAnsi"/>
                <w:color w:val="auto"/>
                <w:sz w:val="20"/>
              </w:rPr>
            </w:pPr>
            <w:r w:rsidRPr="006A458F">
              <w:rPr>
                <w:rFonts w:asciiTheme="minorHAnsi" w:hAnsiTheme="minorHAnsi"/>
                <w:color w:val="auto"/>
                <w:sz w:val="20"/>
              </w:rPr>
              <w:t xml:space="preserve">(a) whether all the information referred to in Article 26(1) has been published; </w:t>
            </w:r>
          </w:p>
          <w:p w14:paraId="75DAA661" w14:textId="77777777" w:rsidR="00EA3D6F" w:rsidRPr="006A458F" w:rsidRDefault="00800953" w:rsidP="00FF3CCE">
            <w:pPr>
              <w:jc w:val="left"/>
              <w:rPr>
                <w:rFonts w:asciiTheme="minorHAnsi" w:hAnsiTheme="minorHAnsi"/>
                <w:color w:val="auto"/>
                <w:sz w:val="20"/>
              </w:rPr>
            </w:pPr>
            <w:r w:rsidRPr="006A458F">
              <w:rPr>
                <w:rFonts w:asciiTheme="minorHAnsi" w:hAnsiTheme="minorHAnsi"/>
                <w:color w:val="auto"/>
                <w:sz w:val="20"/>
              </w:rPr>
              <w:t xml:space="preserve">(b) whether the elements consulted on in accordance with Article 26 comply with the following requirements: </w:t>
            </w:r>
          </w:p>
          <w:p w14:paraId="5730B882" w14:textId="77777777" w:rsidR="00EA3D6F" w:rsidRPr="006A458F" w:rsidRDefault="00800953" w:rsidP="00EA3D6F">
            <w:pPr>
              <w:ind w:left="720"/>
              <w:jc w:val="left"/>
              <w:rPr>
                <w:rFonts w:asciiTheme="minorHAnsi" w:hAnsiTheme="minorHAnsi"/>
                <w:color w:val="auto"/>
                <w:sz w:val="20"/>
              </w:rPr>
            </w:pPr>
            <w:r w:rsidRPr="006A458F">
              <w:rPr>
                <w:rFonts w:asciiTheme="minorHAnsi" w:hAnsiTheme="minorHAnsi"/>
                <w:color w:val="auto"/>
                <w:sz w:val="20"/>
              </w:rPr>
              <w:t xml:space="preserve">(1) whether the proposed reference price methodology complies with the requirements set out in Article 7; </w:t>
            </w:r>
          </w:p>
          <w:p w14:paraId="779E95AE" w14:textId="77777777" w:rsidR="00EA3D6F" w:rsidRPr="006A458F" w:rsidRDefault="00800953" w:rsidP="00EA3D6F">
            <w:pPr>
              <w:ind w:left="720"/>
              <w:jc w:val="left"/>
              <w:rPr>
                <w:rFonts w:asciiTheme="minorHAnsi" w:hAnsiTheme="minorHAnsi"/>
                <w:color w:val="auto"/>
                <w:sz w:val="20"/>
              </w:rPr>
            </w:pPr>
            <w:r w:rsidRPr="006A458F">
              <w:rPr>
                <w:rFonts w:asciiTheme="minorHAnsi" w:hAnsiTheme="minorHAnsi"/>
                <w:color w:val="auto"/>
                <w:sz w:val="20"/>
              </w:rPr>
              <w:t xml:space="preserve">(2) whether the criteria for setting commodity-based transmission tariffs as set out in Article 4(3) are met; </w:t>
            </w:r>
          </w:p>
          <w:p w14:paraId="6807E84C" w14:textId="03232DBE" w:rsidR="00800953" w:rsidRPr="006A458F" w:rsidRDefault="00800953" w:rsidP="00EA3D6F">
            <w:pPr>
              <w:ind w:left="720"/>
              <w:jc w:val="left"/>
              <w:rPr>
                <w:rFonts w:asciiTheme="minorHAnsi" w:hAnsiTheme="minorHAnsi" w:cs="Helvetica"/>
                <w:color w:val="auto"/>
                <w:sz w:val="20"/>
              </w:rPr>
            </w:pPr>
            <w:r w:rsidRPr="006A458F">
              <w:rPr>
                <w:rFonts w:asciiTheme="minorHAnsi" w:hAnsiTheme="minorHAnsi"/>
                <w:color w:val="auto"/>
                <w:sz w:val="20"/>
              </w:rPr>
              <w:t>(3) whether the criteria for setting non-transmission tariffs as set out in Article 4(4) are met.</w:t>
            </w:r>
          </w:p>
        </w:tc>
        <w:tc>
          <w:tcPr>
            <w:tcW w:w="4744" w:type="dxa"/>
          </w:tcPr>
          <w:p w14:paraId="12678AB2" w14:textId="77777777" w:rsidR="00800953" w:rsidRPr="006A458F" w:rsidRDefault="00800953" w:rsidP="00FF3CCE">
            <w:pPr>
              <w:jc w:val="left"/>
              <w:rPr>
                <w:rFonts w:asciiTheme="minorHAnsi" w:hAnsiTheme="minorHAnsi" w:cs="Helvetica"/>
                <w:color w:val="auto"/>
                <w:sz w:val="20"/>
              </w:rPr>
            </w:pPr>
          </w:p>
        </w:tc>
      </w:tr>
      <w:tr w:rsidR="00800953" w:rsidRPr="00EA3D6F" w14:paraId="4D646A6A" w14:textId="77777777" w:rsidTr="00FF3CCE">
        <w:tc>
          <w:tcPr>
            <w:tcW w:w="4743" w:type="dxa"/>
          </w:tcPr>
          <w:p w14:paraId="2DB02F84" w14:textId="77777777" w:rsidR="00800953" w:rsidRPr="006A458F" w:rsidRDefault="00800953" w:rsidP="00FF3CCE">
            <w:pPr>
              <w:jc w:val="left"/>
              <w:rPr>
                <w:rFonts w:asciiTheme="minorHAnsi" w:hAnsiTheme="minorHAnsi" w:cs="Helvetica"/>
                <w:color w:val="auto"/>
                <w:sz w:val="20"/>
              </w:rPr>
            </w:pPr>
            <w:r w:rsidRPr="006A458F">
              <w:rPr>
                <w:rFonts w:asciiTheme="minorHAnsi" w:hAnsiTheme="minorHAnsi"/>
                <w:color w:val="auto"/>
                <w:sz w:val="20"/>
              </w:rPr>
              <w:t xml:space="preserve">3. Within two months following the end of the consultation referred to in paragraph 1, the Agency shall publish and send to the national regulatory authority or transmission system operator, depending on which entity published the consultation document, </w:t>
            </w:r>
            <w:r w:rsidRPr="006A458F">
              <w:rPr>
                <w:rFonts w:asciiTheme="minorHAnsi" w:hAnsiTheme="minorHAnsi"/>
                <w:color w:val="auto"/>
                <w:sz w:val="20"/>
              </w:rPr>
              <w:lastRenderedPageBreak/>
              <w:t>and the Commission the conclusion of its analysis in accordance with paragraph 2 in English.</w:t>
            </w:r>
          </w:p>
        </w:tc>
        <w:tc>
          <w:tcPr>
            <w:tcW w:w="4744" w:type="dxa"/>
          </w:tcPr>
          <w:p w14:paraId="5B1B9D0A" w14:textId="77777777" w:rsidR="00800953" w:rsidRPr="006A458F" w:rsidRDefault="00800953" w:rsidP="00FF3CCE">
            <w:pPr>
              <w:jc w:val="left"/>
              <w:rPr>
                <w:rFonts w:asciiTheme="minorHAnsi" w:hAnsiTheme="minorHAnsi" w:cs="Helvetica"/>
                <w:color w:val="auto"/>
                <w:sz w:val="20"/>
              </w:rPr>
            </w:pPr>
          </w:p>
        </w:tc>
      </w:tr>
      <w:tr w:rsidR="00800953" w:rsidRPr="00EA3D6F" w14:paraId="7965E574" w14:textId="77777777" w:rsidTr="00FF3CCE">
        <w:tc>
          <w:tcPr>
            <w:tcW w:w="4743" w:type="dxa"/>
          </w:tcPr>
          <w:p w14:paraId="20533FEC" w14:textId="77777777" w:rsidR="00800953" w:rsidRPr="006A458F" w:rsidRDefault="00800953" w:rsidP="00FF3CCE">
            <w:pPr>
              <w:jc w:val="left"/>
              <w:rPr>
                <w:rFonts w:asciiTheme="minorHAnsi" w:hAnsiTheme="minorHAnsi" w:cs="Helvetica"/>
                <w:color w:val="auto"/>
                <w:sz w:val="20"/>
              </w:rPr>
            </w:pPr>
            <w:r w:rsidRPr="006A458F">
              <w:rPr>
                <w:rFonts w:asciiTheme="minorHAnsi" w:hAnsiTheme="minorHAnsi"/>
                <w:color w:val="auto"/>
                <w:sz w:val="20"/>
              </w:rPr>
              <w:t>4. Within five months following the end of the final consultation, the national regulatory authority, acting in accordance with Article 41(6)(a) of Directive 2009/73/EC, shall take and publish a motivated decision on all items set out in Article 26(1). Upon publication, the national regulatory authority shall send to the Agency and the Commission its decision.</w:t>
            </w:r>
          </w:p>
        </w:tc>
        <w:tc>
          <w:tcPr>
            <w:tcW w:w="4744" w:type="dxa"/>
          </w:tcPr>
          <w:p w14:paraId="34C80B4A" w14:textId="77777777" w:rsidR="00800953" w:rsidRPr="006A458F" w:rsidRDefault="00800953" w:rsidP="00FF3CCE">
            <w:pPr>
              <w:jc w:val="left"/>
              <w:rPr>
                <w:rFonts w:asciiTheme="minorHAnsi" w:hAnsiTheme="minorHAnsi" w:cs="Helvetica"/>
                <w:color w:val="auto"/>
                <w:sz w:val="20"/>
              </w:rPr>
            </w:pPr>
          </w:p>
        </w:tc>
      </w:tr>
      <w:tr w:rsidR="00800953" w:rsidRPr="00EA3D6F" w14:paraId="561A664E" w14:textId="77777777" w:rsidTr="00FF3CCE">
        <w:tc>
          <w:tcPr>
            <w:tcW w:w="4743" w:type="dxa"/>
          </w:tcPr>
          <w:p w14:paraId="55208F98" w14:textId="77777777" w:rsidR="00800953" w:rsidRPr="006A458F" w:rsidRDefault="00800953" w:rsidP="00FF3CCE">
            <w:pPr>
              <w:jc w:val="left"/>
              <w:rPr>
                <w:rFonts w:asciiTheme="minorHAnsi" w:hAnsiTheme="minorHAnsi" w:cs="Helvetica"/>
                <w:color w:val="auto"/>
                <w:sz w:val="20"/>
              </w:rPr>
            </w:pPr>
            <w:r w:rsidRPr="006A458F">
              <w:rPr>
                <w:rFonts w:asciiTheme="minorHAnsi" w:hAnsiTheme="minorHAnsi"/>
                <w:color w:val="auto"/>
                <w:sz w:val="20"/>
              </w:rPr>
              <w:t>5. The procedure consisting of the final consultation on the reference price methodology in accordance with Article 26, the decision by the national regulatory authority in accordance with paragraph 4, the calculation of tariffs on the basis of this decision, and the publication of the tariffs in accordance with Chapter VIII may be initiated as from the entry into force of this Regulation and shall be concluded no later than 31 May 2019. The requirements set out in Chapters II, III and IV shall be taken into account in this procedure. The tariffs applicable for the prevailing tariff period at 31 May 2019 will be applicable until the end thereof. This procedure shall be repeated at least every five years starting from 31 May 2019.</w:t>
            </w:r>
          </w:p>
        </w:tc>
        <w:tc>
          <w:tcPr>
            <w:tcW w:w="4744" w:type="dxa"/>
          </w:tcPr>
          <w:p w14:paraId="5D31AF2E" w14:textId="77777777" w:rsidR="00800953" w:rsidRPr="006A458F" w:rsidRDefault="00800953" w:rsidP="00FF3CCE">
            <w:pPr>
              <w:jc w:val="left"/>
              <w:rPr>
                <w:rFonts w:asciiTheme="minorHAnsi" w:hAnsiTheme="minorHAnsi" w:cs="Helvetica"/>
                <w:color w:val="auto"/>
                <w:sz w:val="20"/>
              </w:rPr>
            </w:pPr>
          </w:p>
        </w:tc>
      </w:tr>
    </w:tbl>
    <w:p w14:paraId="157A056C" w14:textId="77777777" w:rsidR="00800953" w:rsidRDefault="00800953" w:rsidP="00800953">
      <w:pPr>
        <w:jc w:val="left"/>
        <w:rPr>
          <w:rFonts w:ascii="Arial" w:hAnsi="Arial"/>
          <w:b/>
          <w:color w:val="auto"/>
        </w:rPr>
      </w:pPr>
    </w:p>
    <w:sectPr w:rsidR="00800953" w:rsidSect="00702EAB">
      <w:type w:val="continuous"/>
      <w:pgSz w:w="11906" w:h="16838"/>
      <w:pgMar w:top="1134" w:right="1133" w:bottom="1440" w:left="1276" w:header="709" w:footer="69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56836" w14:textId="77777777" w:rsidR="002533F5" w:rsidRDefault="002533F5">
      <w:r>
        <w:separator/>
      </w:r>
    </w:p>
  </w:endnote>
  <w:endnote w:type="continuationSeparator" w:id="0">
    <w:p w14:paraId="6A84AE36" w14:textId="77777777" w:rsidR="002533F5" w:rsidRDefault="0025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BODCI+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810085119"/>
      <w:docPartObj>
        <w:docPartGallery w:val="Page Numbers (Bottom of Page)"/>
        <w:docPartUnique/>
      </w:docPartObj>
    </w:sdtPr>
    <w:sdtEndPr/>
    <w:sdtContent>
      <w:sdt>
        <w:sdtPr>
          <w:rPr>
            <w:color w:val="auto"/>
          </w:rPr>
          <w:id w:val="1728636285"/>
          <w:docPartObj>
            <w:docPartGallery w:val="Page Numbers (Top of Page)"/>
            <w:docPartUnique/>
          </w:docPartObj>
        </w:sdtPr>
        <w:sdtEndPr/>
        <w:sdtContent>
          <w:p w14:paraId="3FC4DF75" w14:textId="5373B1A7" w:rsidR="00754E0E" w:rsidRPr="00754E0E" w:rsidRDefault="00754E0E">
            <w:pPr>
              <w:pStyle w:val="Footer"/>
              <w:jc w:val="center"/>
              <w:rPr>
                <w:color w:val="auto"/>
              </w:rPr>
            </w:pPr>
            <w:r w:rsidRPr="00754E0E">
              <w:rPr>
                <w:rFonts w:asciiTheme="minorHAnsi" w:hAnsiTheme="minorHAnsi"/>
                <w:color w:val="auto"/>
              </w:rPr>
              <w:t xml:space="preserve">Page </w:t>
            </w:r>
            <w:r w:rsidRPr="00754E0E">
              <w:rPr>
                <w:rFonts w:asciiTheme="minorHAnsi" w:hAnsiTheme="minorHAnsi"/>
                <w:bCs/>
                <w:color w:val="auto"/>
                <w:sz w:val="24"/>
              </w:rPr>
              <w:fldChar w:fldCharType="begin"/>
            </w:r>
            <w:r w:rsidRPr="00754E0E">
              <w:rPr>
                <w:rFonts w:asciiTheme="minorHAnsi" w:hAnsiTheme="minorHAnsi"/>
                <w:bCs/>
                <w:color w:val="auto"/>
              </w:rPr>
              <w:instrText xml:space="preserve"> PAGE </w:instrText>
            </w:r>
            <w:r w:rsidRPr="00754E0E">
              <w:rPr>
                <w:rFonts w:asciiTheme="minorHAnsi" w:hAnsiTheme="minorHAnsi"/>
                <w:bCs/>
                <w:color w:val="auto"/>
                <w:sz w:val="24"/>
              </w:rPr>
              <w:fldChar w:fldCharType="separate"/>
            </w:r>
            <w:r w:rsidR="00EC76EE">
              <w:rPr>
                <w:rFonts w:asciiTheme="minorHAnsi" w:hAnsiTheme="minorHAnsi"/>
                <w:bCs/>
                <w:noProof/>
                <w:color w:val="auto"/>
              </w:rPr>
              <w:t>1</w:t>
            </w:r>
            <w:r w:rsidRPr="00754E0E">
              <w:rPr>
                <w:rFonts w:asciiTheme="minorHAnsi" w:hAnsiTheme="minorHAnsi"/>
                <w:bCs/>
                <w:color w:val="auto"/>
                <w:sz w:val="24"/>
              </w:rPr>
              <w:fldChar w:fldCharType="end"/>
            </w:r>
            <w:r w:rsidRPr="00754E0E">
              <w:rPr>
                <w:rFonts w:asciiTheme="minorHAnsi" w:hAnsiTheme="minorHAnsi"/>
                <w:color w:val="auto"/>
              </w:rPr>
              <w:t xml:space="preserve"> of </w:t>
            </w:r>
            <w:r w:rsidRPr="00754E0E">
              <w:rPr>
                <w:rFonts w:asciiTheme="minorHAnsi" w:hAnsiTheme="minorHAnsi"/>
                <w:bCs/>
                <w:color w:val="auto"/>
                <w:sz w:val="24"/>
              </w:rPr>
              <w:fldChar w:fldCharType="begin"/>
            </w:r>
            <w:r w:rsidRPr="00754E0E">
              <w:rPr>
                <w:rFonts w:asciiTheme="minorHAnsi" w:hAnsiTheme="minorHAnsi"/>
                <w:bCs/>
                <w:color w:val="auto"/>
              </w:rPr>
              <w:instrText xml:space="preserve"> NUMPAGES  </w:instrText>
            </w:r>
            <w:r w:rsidRPr="00754E0E">
              <w:rPr>
                <w:rFonts w:asciiTheme="minorHAnsi" w:hAnsiTheme="minorHAnsi"/>
                <w:bCs/>
                <w:color w:val="auto"/>
                <w:sz w:val="24"/>
              </w:rPr>
              <w:fldChar w:fldCharType="separate"/>
            </w:r>
            <w:r w:rsidR="00EC76EE">
              <w:rPr>
                <w:rFonts w:asciiTheme="minorHAnsi" w:hAnsiTheme="minorHAnsi"/>
                <w:bCs/>
                <w:noProof/>
                <w:color w:val="auto"/>
              </w:rPr>
              <w:t>7</w:t>
            </w:r>
            <w:r w:rsidRPr="00754E0E">
              <w:rPr>
                <w:rFonts w:asciiTheme="minorHAnsi" w:hAnsiTheme="minorHAnsi"/>
                <w:bCs/>
                <w:color w:val="auto"/>
                <w:sz w:val="24"/>
              </w:rPr>
              <w:fldChar w:fldCharType="end"/>
            </w:r>
          </w:p>
        </w:sdtContent>
      </w:sdt>
    </w:sdtContent>
  </w:sdt>
  <w:p w14:paraId="1B1664FC" w14:textId="77777777" w:rsidR="00754E0E" w:rsidRDefault="00754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364F9" w14:textId="77777777" w:rsidR="002533F5" w:rsidRDefault="002533F5">
      <w:r>
        <w:separator/>
      </w:r>
    </w:p>
  </w:footnote>
  <w:footnote w:type="continuationSeparator" w:id="0">
    <w:p w14:paraId="2513A733" w14:textId="77777777" w:rsidR="002533F5" w:rsidRDefault="00253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F1238" w14:textId="61AFD86C" w:rsidR="007051F1" w:rsidRPr="00754E0E" w:rsidRDefault="00754E0E" w:rsidP="00754E0E">
    <w:pPr>
      <w:pStyle w:val="Header"/>
      <w:rPr>
        <w:rFonts w:asciiTheme="minorHAnsi" w:hAnsiTheme="minorHAnsi"/>
        <w:color w:val="auto"/>
        <w:sz w:val="18"/>
      </w:rPr>
    </w:pPr>
    <w:r w:rsidRPr="00754E0E">
      <w:rPr>
        <w:rFonts w:asciiTheme="minorHAnsi" w:hAnsiTheme="minorHAnsi"/>
        <w:color w:val="auto"/>
        <w:sz w:val="18"/>
      </w:rPr>
      <w:t>18 May 2018</w:t>
    </w:r>
    <w:r w:rsidRPr="00754E0E">
      <w:rPr>
        <w:rFonts w:asciiTheme="minorHAnsi" w:hAnsiTheme="minorHAnsi"/>
        <w:color w:val="auto"/>
        <w:sz w:val="18"/>
      </w:rPr>
      <w:tab/>
    </w:r>
    <w:r w:rsidRPr="00754E0E">
      <w:rPr>
        <w:rFonts w:asciiTheme="minorHAnsi" w:hAnsiTheme="minorHAnsi"/>
        <w:color w:val="auto"/>
        <w:sz w:val="18"/>
      </w:rPr>
      <w:tab/>
      <w:t>V1.0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CBD"/>
    <w:multiLevelType w:val="hybridMultilevel"/>
    <w:tmpl w:val="7D0A645C"/>
    <w:lvl w:ilvl="0" w:tplc="8A50864E">
      <w:start w:val="1"/>
      <w:numFmt w:val="bullet"/>
      <w:lvlText w:val=""/>
      <w:lvlJc w:val="left"/>
      <w:pPr>
        <w:tabs>
          <w:tab w:val="num" w:pos="1287"/>
        </w:tabs>
        <w:ind w:left="1287" w:hanging="567"/>
      </w:pPr>
      <w:rPr>
        <w:rFonts w:ascii="Symbol" w:hAnsi="Symbol" w:hint="default"/>
      </w:rPr>
    </w:lvl>
    <w:lvl w:ilvl="1" w:tplc="EC38DCE4" w:tentative="1">
      <w:start w:val="1"/>
      <w:numFmt w:val="bullet"/>
      <w:lvlText w:val="o"/>
      <w:lvlJc w:val="left"/>
      <w:pPr>
        <w:tabs>
          <w:tab w:val="num" w:pos="1196"/>
        </w:tabs>
        <w:ind w:left="1196" w:hanging="360"/>
      </w:pPr>
      <w:rPr>
        <w:rFonts w:ascii="Courier New" w:hAnsi="Courier New" w:hint="default"/>
      </w:rPr>
    </w:lvl>
    <w:lvl w:ilvl="2" w:tplc="9DDCAB28" w:tentative="1">
      <w:start w:val="1"/>
      <w:numFmt w:val="bullet"/>
      <w:lvlText w:val=""/>
      <w:lvlJc w:val="left"/>
      <w:pPr>
        <w:tabs>
          <w:tab w:val="num" w:pos="1916"/>
        </w:tabs>
        <w:ind w:left="1916" w:hanging="360"/>
      </w:pPr>
      <w:rPr>
        <w:rFonts w:ascii="Wingdings" w:hAnsi="Wingdings" w:hint="default"/>
      </w:rPr>
    </w:lvl>
    <w:lvl w:ilvl="3" w:tplc="99D6323E" w:tentative="1">
      <w:start w:val="1"/>
      <w:numFmt w:val="bullet"/>
      <w:lvlText w:val=""/>
      <w:lvlJc w:val="left"/>
      <w:pPr>
        <w:tabs>
          <w:tab w:val="num" w:pos="2636"/>
        </w:tabs>
        <w:ind w:left="2636" w:hanging="360"/>
      </w:pPr>
      <w:rPr>
        <w:rFonts w:ascii="Symbol" w:hAnsi="Symbol" w:hint="default"/>
      </w:rPr>
    </w:lvl>
    <w:lvl w:ilvl="4" w:tplc="D2BADADC" w:tentative="1">
      <w:start w:val="1"/>
      <w:numFmt w:val="bullet"/>
      <w:lvlText w:val="o"/>
      <w:lvlJc w:val="left"/>
      <w:pPr>
        <w:tabs>
          <w:tab w:val="num" w:pos="3356"/>
        </w:tabs>
        <w:ind w:left="3356" w:hanging="360"/>
      </w:pPr>
      <w:rPr>
        <w:rFonts w:ascii="Courier New" w:hAnsi="Courier New" w:hint="default"/>
      </w:rPr>
    </w:lvl>
    <w:lvl w:ilvl="5" w:tplc="E11A5C1C" w:tentative="1">
      <w:start w:val="1"/>
      <w:numFmt w:val="bullet"/>
      <w:lvlText w:val=""/>
      <w:lvlJc w:val="left"/>
      <w:pPr>
        <w:tabs>
          <w:tab w:val="num" w:pos="4076"/>
        </w:tabs>
        <w:ind w:left="4076" w:hanging="360"/>
      </w:pPr>
      <w:rPr>
        <w:rFonts w:ascii="Wingdings" w:hAnsi="Wingdings" w:hint="default"/>
      </w:rPr>
    </w:lvl>
    <w:lvl w:ilvl="6" w:tplc="181C3948" w:tentative="1">
      <w:start w:val="1"/>
      <w:numFmt w:val="bullet"/>
      <w:lvlText w:val=""/>
      <w:lvlJc w:val="left"/>
      <w:pPr>
        <w:tabs>
          <w:tab w:val="num" w:pos="4796"/>
        </w:tabs>
        <w:ind w:left="4796" w:hanging="360"/>
      </w:pPr>
      <w:rPr>
        <w:rFonts w:ascii="Symbol" w:hAnsi="Symbol" w:hint="default"/>
      </w:rPr>
    </w:lvl>
    <w:lvl w:ilvl="7" w:tplc="ED7A0F42" w:tentative="1">
      <w:start w:val="1"/>
      <w:numFmt w:val="bullet"/>
      <w:lvlText w:val="o"/>
      <w:lvlJc w:val="left"/>
      <w:pPr>
        <w:tabs>
          <w:tab w:val="num" w:pos="5516"/>
        </w:tabs>
        <w:ind w:left="5516" w:hanging="360"/>
      </w:pPr>
      <w:rPr>
        <w:rFonts w:ascii="Courier New" w:hAnsi="Courier New" w:hint="default"/>
      </w:rPr>
    </w:lvl>
    <w:lvl w:ilvl="8" w:tplc="D27C58FC" w:tentative="1">
      <w:start w:val="1"/>
      <w:numFmt w:val="bullet"/>
      <w:lvlText w:val=""/>
      <w:lvlJc w:val="left"/>
      <w:pPr>
        <w:tabs>
          <w:tab w:val="num" w:pos="6236"/>
        </w:tabs>
        <w:ind w:left="6236" w:hanging="360"/>
      </w:pPr>
      <w:rPr>
        <w:rFonts w:ascii="Wingdings" w:hAnsi="Wingdings" w:hint="default"/>
      </w:rPr>
    </w:lvl>
  </w:abstractNum>
  <w:abstractNum w:abstractNumId="1" w15:restartNumberingAfterBreak="0">
    <w:nsid w:val="06314909"/>
    <w:multiLevelType w:val="multilevel"/>
    <w:tmpl w:val="340CFED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EE473FF"/>
    <w:multiLevelType w:val="hybridMultilevel"/>
    <w:tmpl w:val="8B9A18AE"/>
    <w:lvl w:ilvl="0" w:tplc="F0E8B700">
      <w:start w:val="1"/>
      <w:numFmt w:val="bullet"/>
      <w:lvlText w:val="o"/>
      <w:lvlJc w:val="left"/>
      <w:pPr>
        <w:tabs>
          <w:tab w:val="num" w:pos="360"/>
        </w:tabs>
        <w:ind w:left="360" w:hanging="360"/>
      </w:pPr>
      <w:rPr>
        <w:rFonts w:ascii="Courier New" w:hAnsi="Courier New" w:hint="default"/>
        <w:color w:val="000080"/>
      </w:rPr>
    </w:lvl>
    <w:lvl w:ilvl="1" w:tplc="04090003" w:tentative="1">
      <w:start w:val="1"/>
      <w:numFmt w:val="bullet"/>
      <w:lvlText w:val="o"/>
      <w:lvlJc w:val="left"/>
      <w:pPr>
        <w:tabs>
          <w:tab w:val="num" w:pos="901"/>
        </w:tabs>
        <w:ind w:left="901" w:hanging="360"/>
      </w:pPr>
      <w:rPr>
        <w:rFonts w:ascii="Courier New" w:hAnsi="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3" w15:restartNumberingAfterBreak="0">
    <w:nsid w:val="13165438"/>
    <w:multiLevelType w:val="hybridMultilevel"/>
    <w:tmpl w:val="D3AAA4DC"/>
    <w:lvl w:ilvl="0" w:tplc="5F6AFF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546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A9B68EC"/>
    <w:multiLevelType w:val="hybridMultilevel"/>
    <w:tmpl w:val="F01AC82C"/>
    <w:lvl w:ilvl="0" w:tplc="F0E8B700">
      <w:start w:val="1"/>
      <w:numFmt w:val="bullet"/>
      <w:lvlText w:val="o"/>
      <w:lvlJc w:val="left"/>
      <w:pPr>
        <w:tabs>
          <w:tab w:val="num" w:pos="899"/>
        </w:tabs>
        <w:ind w:left="899" w:hanging="360"/>
      </w:pPr>
      <w:rPr>
        <w:rFonts w:ascii="Courier New" w:hAnsi="Courier New"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E3305"/>
    <w:multiLevelType w:val="hybridMultilevel"/>
    <w:tmpl w:val="590C8F2C"/>
    <w:lvl w:ilvl="0" w:tplc="9F006E24">
      <w:start w:val="1"/>
      <w:numFmt w:val="bullet"/>
      <w:lvlText w:val=""/>
      <w:lvlJc w:val="left"/>
      <w:pPr>
        <w:tabs>
          <w:tab w:val="num" w:pos="2071"/>
        </w:tabs>
        <w:ind w:left="2071" w:hanging="567"/>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C964F56"/>
    <w:multiLevelType w:val="hybridMultilevel"/>
    <w:tmpl w:val="D1FE9374"/>
    <w:lvl w:ilvl="0" w:tplc="3BF458C6">
      <w:start w:val="1"/>
      <w:numFmt w:val="bullet"/>
      <w:lvlText w:val=""/>
      <w:lvlJc w:val="left"/>
      <w:pPr>
        <w:tabs>
          <w:tab w:val="num" w:pos="899"/>
        </w:tabs>
        <w:ind w:left="899"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DE6221"/>
    <w:multiLevelType w:val="hybridMultilevel"/>
    <w:tmpl w:val="B2AA97B4"/>
    <w:lvl w:ilvl="0" w:tplc="F0E8B700">
      <w:start w:val="1"/>
      <w:numFmt w:val="bullet"/>
      <w:lvlText w:val="o"/>
      <w:lvlJc w:val="left"/>
      <w:pPr>
        <w:tabs>
          <w:tab w:val="num" w:pos="360"/>
        </w:tabs>
        <w:ind w:left="360" w:hanging="360"/>
      </w:pPr>
      <w:rPr>
        <w:rFonts w:ascii="Courier New" w:hAnsi="Courier New" w:hint="default"/>
        <w:color w:val="000080"/>
      </w:rPr>
    </w:lvl>
    <w:lvl w:ilvl="1" w:tplc="04090003" w:tentative="1">
      <w:start w:val="1"/>
      <w:numFmt w:val="bullet"/>
      <w:lvlText w:val="o"/>
      <w:lvlJc w:val="left"/>
      <w:pPr>
        <w:tabs>
          <w:tab w:val="num" w:pos="901"/>
        </w:tabs>
        <w:ind w:left="901" w:hanging="360"/>
      </w:pPr>
      <w:rPr>
        <w:rFonts w:ascii="Courier New" w:hAnsi="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9" w15:restartNumberingAfterBreak="0">
    <w:nsid w:val="2353659A"/>
    <w:multiLevelType w:val="hybridMultilevel"/>
    <w:tmpl w:val="F5FEB034"/>
    <w:lvl w:ilvl="0" w:tplc="F588F0B0">
      <w:start w:val="1"/>
      <w:numFmt w:val="lowerLetter"/>
      <w:lvlText w:val="%1)"/>
      <w:lvlJc w:val="left"/>
      <w:pPr>
        <w:tabs>
          <w:tab w:val="num" w:pos="1080"/>
        </w:tabs>
        <w:ind w:left="1077" w:hanging="357"/>
      </w:pPr>
      <w:rPr>
        <w:rFonts w:hint="default"/>
        <w:b/>
        <w:i w:val="0"/>
        <w:color w:val="00008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087EF4"/>
    <w:multiLevelType w:val="hybridMultilevel"/>
    <w:tmpl w:val="4F2CB06E"/>
    <w:lvl w:ilvl="0" w:tplc="F0E8B700">
      <w:start w:val="1"/>
      <w:numFmt w:val="bullet"/>
      <w:lvlText w:val="o"/>
      <w:lvlJc w:val="left"/>
      <w:pPr>
        <w:tabs>
          <w:tab w:val="num" w:pos="899"/>
        </w:tabs>
        <w:ind w:left="899" w:hanging="360"/>
      </w:pPr>
      <w:rPr>
        <w:rFonts w:ascii="Courier New" w:hAnsi="Courier New"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13A75"/>
    <w:multiLevelType w:val="hybridMultilevel"/>
    <w:tmpl w:val="B8E2244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2D2528B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1D457A"/>
    <w:multiLevelType w:val="hybridMultilevel"/>
    <w:tmpl w:val="3BFEC934"/>
    <w:lvl w:ilvl="0" w:tplc="1B1C776C">
      <w:start w:val="1"/>
      <w:numFmt w:val="bullet"/>
      <w:lvlText w:val=""/>
      <w:lvlJc w:val="left"/>
      <w:pPr>
        <w:tabs>
          <w:tab w:val="num" w:pos="1287"/>
        </w:tabs>
        <w:ind w:left="1287" w:hanging="567"/>
      </w:pPr>
      <w:rPr>
        <w:rFonts w:ascii="Symbol" w:hAnsi="Symbol" w:hint="default"/>
      </w:rPr>
    </w:lvl>
    <w:lvl w:ilvl="1" w:tplc="0D12E63C" w:tentative="1">
      <w:start w:val="1"/>
      <w:numFmt w:val="bullet"/>
      <w:lvlText w:val="o"/>
      <w:lvlJc w:val="left"/>
      <w:pPr>
        <w:tabs>
          <w:tab w:val="num" w:pos="1196"/>
        </w:tabs>
        <w:ind w:left="1196" w:hanging="360"/>
      </w:pPr>
      <w:rPr>
        <w:rFonts w:ascii="Courier New" w:hAnsi="Courier New" w:hint="default"/>
      </w:rPr>
    </w:lvl>
    <w:lvl w:ilvl="2" w:tplc="41C6D520" w:tentative="1">
      <w:start w:val="1"/>
      <w:numFmt w:val="bullet"/>
      <w:lvlText w:val=""/>
      <w:lvlJc w:val="left"/>
      <w:pPr>
        <w:tabs>
          <w:tab w:val="num" w:pos="1916"/>
        </w:tabs>
        <w:ind w:left="1916" w:hanging="360"/>
      </w:pPr>
      <w:rPr>
        <w:rFonts w:ascii="Wingdings" w:hAnsi="Wingdings" w:hint="default"/>
      </w:rPr>
    </w:lvl>
    <w:lvl w:ilvl="3" w:tplc="C924F3D6" w:tentative="1">
      <w:start w:val="1"/>
      <w:numFmt w:val="bullet"/>
      <w:lvlText w:val=""/>
      <w:lvlJc w:val="left"/>
      <w:pPr>
        <w:tabs>
          <w:tab w:val="num" w:pos="2636"/>
        </w:tabs>
        <w:ind w:left="2636" w:hanging="360"/>
      </w:pPr>
      <w:rPr>
        <w:rFonts w:ascii="Symbol" w:hAnsi="Symbol" w:hint="default"/>
      </w:rPr>
    </w:lvl>
    <w:lvl w:ilvl="4" w:tplc="0478F316" w:tentative="1">
      <w:start w:val="1"/>
      <w:numFmt w:val="bullet"/>
      <w:lvlText w:val="o"/>
      <w:lvlJc w:val="left"/>
      <w:pPr>
        <w:tabs>
          <w:tab w:val="num" w:pos="3356"/>
        </w:tabs>
        <w:ind w:left="3356" w:hanging="360"/>
      </w:pPr>
      <w:rPr>
        <w:rFonts w:ascii="Courier New" w:hAnsi="Courier New" w:hint="default"/>
      </w:rPr>
    </w:lvl>
    <w:lvl w:ilvl="5" w:tplc="5BC4F8FA" w:tentative="1">
      <w:start w:val="1"/>
      <w:numFmt w:val="bullet"/>
      <w:lvlText w:val=""/>
      <w:lvlJc w:val="left"/>
      <w:pPr>
        <w:tabs>
          <w:tab w:val="num" w:pos="4076"/>
        </w:tabs>
        <w:ind w:left="4076" w:hanging="360"/>
      </w:pPr>
      <w:rPr>
        <w:rFonts w:ascii="Wingdings" w:hAnsi="Wingdings" w:hint="default"/>
      </w:rPr>
    </w:lvl>
    <w:lvl w:ilvl="6" w:tplc="18549012" w:tentative="1">
      <w:start w:val="1"/>
      <w:numFmt w:val="bullet"/>
      <w:lvlText w:val=""/>
      <w:lvlJc w:val="left"/>
      <w:pPr>
        <w:tabs>
          <w:tab w:val="num" w:pos="4796"/>
        </w:tabs>
        <w:ind w:left="4796" w:hanging="360"/>
      </w:pPr>
      <w:rPr>
        <w:rFonts w:ascii="Symbol" w:hAnsi="Symbol" w:hint="default"/>
      </w:rPr>
    </w:lvl>
    <w:lvl w:ilvl="7" w:tplc="85AC9FBA" w:tentative="1">
      <w:start w:val="1"/>
      <w:numFmt w:val="bullet"/>
      <w:lvlText w:val="o"/>
      <w:lvlJc w:val="left"/>
      <w:pPr>
        <w:tabs>
          <w:tab w:val="num" w:pos="5516"/>
        </w:tabs>
        <w:ind w:left="5516" w:hanging="360"/>
      </w:pPr>
      <w:rPr>
        <w:rFonts w:ascii="Courier New" w:hAnsi="Courier New" w:hint="default"/>
      </w:rPr>
    </w:lvl>
    <w:lvl w:ilvl="8" w:tplc="51966C76" w:tentative="1">
      <w:start w:val="1"/>
      <w:numFmt w:val="bullet"/>
      <w:lvlText w:val=""/>
      <w:lvlJc w:val="left"/>
      <w:pPr>
        <w:tabs>
          <w:tab w:val="num" w:pos="6236"/>
        </w:tabs>
        <w:ind w:left="6236" w:hanging="360"/>
      </w:pPr>
      <w:rPr>
        <w:rFonts w:ascii="Wingdings" w:hAnsi="Wingdings" w:hint="default"/>
      </w:rPr>
    </w:lvl>
  </w:abstractNum>
  <w:abstractNum w:abstractNumId="14" w15:restartNumberingAfterBreak="0">
    <w:nsid w:val="316F29EC"/>
    <w:multiLevelType w:val="hybridMultilevel"/>
    <w:tmpl w:val="E69EC848"/>
    <w:lvl w:ilvl="0" w:tplc="C0169A7C">
      <w:start w:val="1"/>
      <w:numFmt w:val="bullet"/>
      <w:lvlText w:val=""/>
      <w:lvlJc w:val="left"/>
      <w:pPr>
        <w:tabs>
          <w:tab w:val="num" w:pos="1287"/>
        </w:tabs>
        <w:ind w:left="1287" w:hanging="567"/>
      </w:pPr>
      <w:rPr>
        <w:rFonts w:ascii="Symbol" w:hAnsi="Symbol" w:hint="default"/>
      </w:rPr>
    </w:lvl>
    <w:lvl w:ilvl="1" w:tplc="37D07E9A" w:tentative="1">
      <w:start w:val="1"/>
      <w:numFmt w:val="bullet"/>
      <w:lvlText w:val="o"/>
      <w:lvlJc w:val="left"/>
      <w:pPr>
        <w:tabs>
          <w:tab w:val="num" w:pos="1196"/>
        </w:tabs>
        <w:ind w:left="1196" w:hanging="360"/>
      </w:pPr>
      <w:rPr>
        <w:rFonts w:ascii="Courier New" w:hAnsi="Courier New" w:hint="default"/>
      </w:rPr>
    </w:lvl>
    <w:lvl w:ilvl="2" w:tplc="661CD292" w:tentative="1">
      <w:start w:val="1"/>
      <w:numFmt w:val="bullet"/>
      <w:lvlText w:val=""/>
      <w:lvlJc w:val="left"/>
      <w:pPr>
        <w:tabs>
          <w:tab w:val="num" w:pos="1916"/>
        </w:tabs>
        <w:ind w:left="1916" w:hanging="360"/>
      </w:pPr>
      <w:rPr>
        <w:rFonts w:ascii="Wingdings" w:hAnsi="Wingdings" w:hint="default"/>
      </w:rPr>
    </w:lvl>
    <w:lvl w:ilvl="3" w:tplc="A2203B08" w:tentative="1">
      <w:start w:val="1"/>
      <w:numFmt w:val="bullet"/>
      <w:lvlText w:val=""/>
      <w:lvlJc w:val="left"/>
      <w:pPr>
        <w:tabs>
          <w:tab w:val="num" w:pos="2636"/>
        </w:tabs>
        <w:ind w:left="2636" w:hanging="360"/>
      </w:pPr>
      <w:rPr>
        <w:rFonts w:ascii="Symbol" w:hAnsi="Symbol" w:hint="default"/>
      </w:rPr>
    </w:lvl>
    <w:lvl w:ilvl="4" w:tplc="EC52AE1E" w:tentative="1">
      <w:start w:val="1"/>
      <w:numFmt w:val="bullet"/>
      <w:lvlText w:val="o"/>
      <w:lvlJc w:val="left"/>
      <w:pPr>
        <w:tabs>
          <w:tab w:val="num" w:pos="3356"/>
        </w:tabs>
        <w:ind w:left="3356" w:hanging="360"/>
      </w:pPr>
      <w:rPr>
        <w:rFonts w:ascii="Courier New" w:hAnsi="Courier New" w:hint="default"/>
      </w:rPr>
    </w:lvl>
    <w:lvl w:ilvl="5" w:tplc="2AB4B6BA" w:tentative="1">
      <w:start w:val="1"/>
      <w:numFmt w:val="bullet"/>
      <w:lvlText w:val=""/>
      <w:lvlJc w:val="left"/>
      <w:pPr>
        <w:tabs>
          <w:tab w:val="num" w:pos="4076"/>
        </w:tabs>
        <w:ind w:left="4076" w:hanging="360"/>
      </w:pPr>
      <w:rPr>
        <w:rFonts w:ascii="Wingdings" w:hAnsi="Wingdings" w:hint="default"/>
      </w:rPr>
    </w:lvl>
    <w:lvl w:ilvl="6" w:tplc="9698DA98" w:tentative="1">
      <w:start w:val="1"/>
      <w:numFmt w:val="bullet"/>
      <w:lvlText w:val=""/>
      <w:lvlJc w:val="left"/>
      <w:pPr>
        <w:tabs>
          <w:tab w:val="num" w:pos="4796"/>
        </w:tabs>
        <w:ind w:left="4796" w:hanging="360"/>
      </w:pPr>
      <w:rPr>
        <w:rFonts w:ascii="Symbol" w:hAnsi="Symbol" w:hint="default"/>
      </w:rPr>
    </w:lvl>
    <w:lvl w:ilvl="7" w:tplc="AF30752A" w:tentative="1">
      <w:start w:val="1"/>
      <w:numFmt w:val="bullet"/>
      <w:lvlText w:val="o"/>
      <w:lvlJc w:val="left"/>
      <w:pPr>
        <w:tabs>
          <w:tab w:val="num" w:pos="5516"/>
        </w:tabs>
        <w:ind w:left="5516" w:hanging="360"/>
      </w:pPr>
      <w:rPr>
        <w:rFonts w:ascii="Courier New" w:hAnsi="Courier New" w:hint="default"/>
      </w:rPr>
    </w:lvl>
    <w:lvl w:ilvl="8" w:tplc="4E4057C2" w:tentative="1">
      <w:start w:val="1"/>
      <w:numFmt w:val="bullet"/>
      <w:lvlText w:val=""/>
      <w:lvlJc w:val="left"/>
      <w:pPr>
        <w:tabs>
          <w:tab w:val="num" w:pos="6236"/>
        </w:tabs>
        <w:ind w:left="6236" w:hanging="360"/>
      </w:pPr>
      <w:rPr>
        <w:rFonts w:ascii="Wingdings" w:hAnsi="Wingdings" w:hint="default"/>
      </w:rPr>
    </w:lvl>
  </w:abstractNum>
  <w:abstractNum w:abstractNumId="15" w15:restartNumberingAfterBreak="0">
    <w:nsid w:val="32E6587E"/>
    <w:multiLevelType w:val="hybridMultilevel"/>
    <w:tmpl w:val="590C8F2C"/>
    <w:lvl w:ilvl="0" w:tplc="9F006E24">
      <w:start w:val="1"/>
      <w:numFmt w:val="bullet"/>
      <w:lvlText w:val=""/>
      <w:lvlJc w:val="left"/>
      <w:pPr>
        <w:tabs>
          <w:tab w:val="num" w:pos="2071"/>
        </w:tabs>
        <w:ind w:left="2071" w:hanging="567"/>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4AF62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BC6643"/>
    <w:multiLevelType w:val="singleLevel"/>
    <w:tmpl w:val="E7880B4A"/>
    <w:lvl w:ilvl="0">
      <w:start w:val="2"/>
      <w:numFmt w:val="decimal"/>
      <w:lvlText w:val="%1."/>
      <w:lvlJc w:val="left"/>
      <w:pPr>
        <w:tabs>
          <w:tab w:val="num" w:pos="540"/>
        </w:tabs>
        <w:ind w:left="540" w:hanging="540"/>
      </w:pPr>
      <w:rPr>
        <w:rFonts w:hint="default"/>
      </w:rPr>
    </w:lvl>
  </w:abstractNum>
  <w:abstractNum w:abstractNumId="18" w15:restartNumberingAfterBreak="0">
    <w:nsid w:val="3E87090B"/>
    <w:multiLevelType w:val="hybridMultilevel"/>
    <w:tmpl w:val="58845538"/>
    <w:lvl w:ilvl="0" w:tplc="FFFFFFFF">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3F4617BA"/>
    <w:multiLevelType w:val="hybridMultilevel"/>
    <w:tmpl w:val="D1FE9374"/>
    <w:lvl w:ilvl="0" w:tplc="EC680502">
      <w:start w:val="1"/>
      <w:numFmt w:val="bullet"/>
      <w:lvlText w:val=""/>
      <w:lvlJc w:val="left"/>
      <w:pPr>
        <w:tabs>
          <w:tab w:val="num" w:pos="360"/>
        </w:tabs>
        <w:ind w:left="360" w:hanging="360"/>
      </w:pPr>
      <w:rPr>
        <w:rFonts w:ascii="Symbol" w:hAnsi="Symbol" w:hint="default"/>
        <w:color w:val="00008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2F72A3"/>
    <w:multiLevelType w:val="hybridMultilevel"/>
    <w:tmpl w:val="6D42ED12"/>
    <w:lvl w:ilvl="0" w:tplc="87DC6C1E">
      <w:start w:val="1"/>
      <w:numFmt w:val="bullet"/>
      <w:lvlText w:val=""/>
      <w:lvlJc w:val="left"/>
      <w:pPr>
        <w:tabs>
          <w:tab w:val="num" w:pos="1111"/>
        </w:tabs>
        <w:ind w:left="1111" w:hanging="567"/>
      </w:pPr>
      <w:rPr>
        <w:rFonts w:ascii="Symbol" w:hAnsi="Symbol" w:hint="default"/>
      </w:rPr>
    </w:lvl>
    <w:lvl w:ilvl="1" w:tplc="27205D82" w:tentative="1">
      <w:start w:val="1"/>
      <w:numFmt w:val="bullet"/>
      <w:lvlText w:val="o"/>
      <w:lvlJc w:val="left"/>
      <w:pPr>
        <w:tabs>
          <w:tab w:val="num" w:pos="1020"/>
        </w:tabs>
        <w:ind w:left="1020" w:hanging="360"/>
      </w:pPr>
      <w:rPr>
        <w:rFonts w:ascii="Courier New" w:hAnsi="Courier New" w:hint="default"/>
      </w:rPr>
    </w:lvl>
    <w:lvl w:ilvl="2" w:tplc="AFA2739A" w:tentative="1">
      <w:start w:val="1"/>
      <w:numFmt w:val="bullet"/>
      <w:lvlText w:val=""/>
      <w:lvlJc w:val="left"/>
      <w:pPr>
        <w:tabs>
          <w:tab w:val="num" w:pos="1740"/>
        </w:tabs>
        <w:ind w:left="1740" w:hanging="360"/>
      </w:pPr>
      <w:rPr>
        <w:rFonts w:ascii="Wingdings" w:hAnsi="Wingdings" w:hint="default"/>
      </w:rPr>
    </w:lvl>
    <w:lvl w:ilvl="3" w:tplc="39B89AEA" w:tentative="1">
      <w:start w:val="1"/>
      <w:numFmt w:val="bullet"/>
      <w:lvlText w:val=""/>
      <w:lvlJc w:val="left"/>
      <w:pPr>
        <w:tabs>
          <w:tab w:val="num" w:pos="2460"/>
        </w:tabs>
        <w:ind w:left="2460" w:hanging="360"/>
      </w:pPr>
      <w:rPr>
        <w:rFonts w:ascii="Symbol" w:hAnsi="Symbol" w:hint="default"/>
      </w:rPr>
    </w:lvl>
    <w:lvl w:ilvl="4" w:tplc="76D4116A" w:tentative="1">
      <w:start w:val="1"/>
      <w:numFmt w:val="bullet"/>
      <w:lvlText w:val="o"/>
      <w:lvlJc w:val="left"/>
      <w:pPr>
        <w:tabs>
          <w:tab w:val="num" w:pos="3180"/>
        </w:tabs>
        <w:ind w:left="3180" w:hanging="360"/>
      </w:pPr>
      <w:rPr>
        <w:rFonts w:ascii="Courier New" w:hAnsi="Courier New" w:hint="default"/>
      </w:rPr>
    </w:lvl>
    <w:lvl w:ilvl="5" w:tplc="4DECE554" w:tentative="1">
      <w:start w:val="1"/>
      <w:numFmt w:val="bullet"/>
      <w:lvlText w:val=""/>
      <w:lvlJc w:val="left"/>
      <w:pPr>
        <w:tabs>
          <w:tab w:val="num" w:pos="3900"/>
        </w:tabs>
        <w:ind w:left="3900" w:hanging="360"/>
      </w:pPr>
      <w:rPr>
        <w:rFonts w:ascii="Wingdings" w:hAnsi="Wingdings" w:hint="default"/>
      </w:rPr>
    </w:lvl>
    <w:lvl w:ilvl="6" w:tplc="4D423750" w:tentative="1">
      <w:start w:val="1"/>
      <w:numFmt w:val="bullet"/>
      <w:lvlText w:val=""/>
      <w:lvlJc w:val="left"/>
      <w:pPr>
        <w:tabs>
          <w:tab w:val="num" w:pos="4620"/>
        </w:tabs>
        <w:ind w:left="4620" w:hanging="360"/>
      </w:pPr>
      <w:rPr>
        <w:rFonts w:ascii="Symbol" w:hAnsi="Symbol" w:hint="default"/>
      </w:rPr>
    </w:lvl>
    <w:lvl w:ilvl="7" w:tplc="5E44CF1E" w:tentative="1">
      <w:start w:val="1"/>
      <w:numFmt w:val="bullet"/>
      <w:lvlText w:val="o"/>
      <w:lvlJc w:val="left"/>
      <w:pPr>
        <w:tabs>
          <w:tab w:val="num" w:pos="5340"/>
        </w:tabs>
        <w:ind w:left="5340" w:hanging="360"/>
      </w:pPr>
      <w:rPr>
        <w:rFonts w:ascii="Courier New" w:hAnsi="Courier New" w:hint="default"/>
      </w:rPr>
    </w:lvl>
    <w:lvl w:ilvl="8" w:tplc="4B30C3F0" w:tentative="1">
      <w:start w:val="1"/>
      <w:numFmt w:val="bullet"/>
      <w:lvlText w:val=""/>
      <w:lvlJc w:val="left"/>
      <w:pPr>
        <w:tabs>
          <w:tab w:val="num" w:pos="6060"/>
        </w:tabs>
        <w:ind w:left="6060" w:hanging="360"/>
      </w:pPr>
      <w:rPr>
        <w:rFonts w:ascii="Wingdings" w:hAnsi="Wingdings" w:hint="default"/>
      </w:rPr>
    </w:lvl>
  </w:abstractNum>
  <w:abstractNum w:abstractNumId="21" w15:restartNumberingAfterBreak="0">
    <w:nsid w:val="427B2E8D"/>
    <w:multiLevelType w:val="hybridMultilevel"/>
    <w:tmpl w:val="09EAD032"/>
    <w:lvl w:ilvl="0" w:tplc="928EEB9A">
      <w:start w:val="1"/>
      <w:numFmt w:val="bullet"/>
      <w:lvlText w:val=""/>
      <w:lvlJc w:val="left"/>
      <w:pPr>
        <w:ind w:left="720" w:hanging="360"/>
      </w:pPr>
      <w:rPr>
        <w:rFonts w:ascii="Symbol" w:hAnsi="Symbol" w:hint="default"/>
      </w:rPr>
    </w:lvl>
    <w:lvl w:ilvl="1" w:tplc="0C186E60">
      <w:start w:val="1"/>
      <w:numFmt w:val="bullet"/>
      <w:lvlText w:val=""/>
      <w:lvlJc w:val="left"/>
      <w:pPr>
        <w:ind w:left="1440" w:hanging="360"/>
      </w:pPr>
      <w:rPr>
        <w:rFonts w:ascii="Symbol" w:hAnsi="Symbol" w:hint="default"/>
      </w:rPr>
    </w:lvl>
    <w:lvl w:ilvl="2" w:tplc="CC4E797A">
      <w:start w:val="1"/>
      <w:numFmt w:val="bullet"/>
      <w:lvlText w:val=""/>
      <w:lvlJc w:val="left"/>
      <w:pPr>
        <w:ind w:left="2160" w:hanging="360"/>
      </w:pPr>
      <w:rPr>
        <w:rFonts w:ascii="Wingdings" w:hAnsi="Wingdings" w:hint="default"/>
      </w:rPr>
    </w:lvl>
    <w:lvl w:ilvl="3" w:tplc="99865402">
      <w:start w:val="1"/>
      <w:numFmt w:val="bullet"/>
      <w:lvlText w:val=""/>
      <w:lvlJc w:val="left"/>
      <w:pPr>
        <w:ind w:left="2880" w:hanging="360"/>
      </w:pPr>
      <w:rPr>
        <w:rFonts w:ascii="Symbol" w:hAnsi="Symbol" w:hint="default"/>
      </w:rPr>
    </w:lvl>
    <w:lvl w:ilvl="4" w:tplc="3C14170C">
      <w:start w:val="1"/>
      <w:numFmt w:val="bullet"/>
      <w:lvlText w:val="o"/>
      <w:lvlJc w:val="left"/>
      <w:pPr>
        <w:ind w:left="3600" w:hanging="360"/>
      </w:pPr>
      <w:rPr>
        <w:rFonts w:ascii="Courier New" w:hAnsi="Courier New" w:hint="default"/>
      </w:rPr>
    </w:lvl>
    <w:lvl w:ilvl="5" w:tplc="9FE6A8C0">
      <w:start w:val="1"/>
      <w:numFmt w:val="bullet"/>
      <w:lvlText w:val=""/>
      <w:lvlJc w:val="left"/>
      <w:pPr>
        <w:ind w:left="4320" w:hanging="360"/>
      </w:pPr>
      <w:rPr>
        <w:rFonts w:ascii="Wingdings" w:hAnsi="Wingdings" w:hint="default"/>
      </w:rPr>
    </w:lvl>
    <w:lvl w:ilvl="6" w:tplc="6C52EB2C">
      <w:start w:val="1"/>
      <w:numFmt w:val="bullet"/>
      <w:lvlText w:val=""/>
      <w:lvlJc w:val="left"/>
      <w:pPr>
        <w:ind w:left="5040" w:hanging="360"/>
      </w:pPr>
      <w:rPr>
        <w:rFonts w:ascii="Symbol" w:hAnsi="Symbol" w:hint="default"/>
      </w:rPr>
    </w:lvl>
    <w:lvl w:ilvl="7" w:tplc="867229C4">
      <w:start w:val="1"/>
      <w:numFmt w:val="bullet"/>
      <w:lvlText w:val="o"/>
      <w:lvlJc w:val="left"/>
      <w:pPr>
        <w:ind w:left="5760" w:hanging="360"/>
      </w:pPr>
      <w:rPr>
        <w:rFonts w:ascii="Courier New" w:hAnsi="Courier New" w:hint="default"/>
      </w:rPr>
    </w:lvl>
    <w:lvl w:ilvl="8" w:tplc="C48E33C0">
      <w:start w:val="1"/>
      <w:numFmt w:val="bullet"/>
      <w:lvlText w:val=""/>
      <w:lvlJc w:val="left"/>
      <w:pPr>
        <w:ind w:left="6480" w:hanging="360"/>
      </w:pPr>
      <w:rPr>
        <w:rFonts w:ascii="Wingdings" w:hAnsi="Wingdings" w:hint="default"/>
      </w:rPr>
    </w:lvl>
  </w:abstractNum>
  <w:abstractNum w:abstractNumId="22" w15:restartNumberingAfterBreak="0">
    <w:nsid w:val="431249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9F5D9C"/>
    <w:multiLevelType w:val="hybridMultilevel"/>
    <w:tmpl w:val="C9C2C2C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D66171C"/>
    <w:multiLevelType w:val="hybridMultilevel"/>
    <w:tmpl w:val="4F2CB06E"/>
    <w:lvl w:ilvl="0" w:tplc="0AD014EA">
      <w:start w:val="1"/>
      <w:numFmt w:val="bullet"/>
      <w:lvlText w:val=""/>
      <w:lvlJc w:val="left"/>
      <w:pPr>
        <w:tabs>
          <w:tab w:val="num" w:pos="899"/>
        </w:tabs>
        <w:ind w:left="899"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F04326"/>
    <w:multiLevelType w:val="multilevel"/>
    <w:tmpl w:val="08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11844B1"/>
    <w:multiLevelType w:val="multilevel"/>
    <w:tmpl w:val="20361166"/>
    <w:lvl w:ilvl="0">
      <w:start w:val="2"/>
      <w:numFmt w:val="lowerLetter"/>
      <w:lvlText w:val="%1."/>
      <w:lvlJc w:val="left"/>
      <w:pPr>
        <w:tabs>
          <w:tab w:val="num" w:pos="383"/>
        </w:tabs>
        <w:ind w:left="383" w:hanging="360"/>
      </w:pPr>
      <w:rPr>
        <w:rFonts w:hint="default"/>
      </w:rPr>
    </w:lvl>
    <w:lvl w:ilvl="1">
      <w:start w:val="1"/>
      <w:numFmt w:val="bullet"/>
      <w:lvlText w:val=""/>
      <w:lvlJc w:val="left"/>
      <w:pPr>
        <w:tabs>
          <w:tab w:val="num" w:pos="1103"/>
        </w:tabs>
        <w:ind w:left="1103" w:hanging="360"/>
      </w:pPr>
      <w:rPr>
        <w:rFonts w:ascii="Symbol" w:hAnsi="Symbol" w:hint="default"/>
      </w:rPr>
    </w:lvl>
    <w:lvl w:ilvl="2">
      <w:start w:val="1"/>
      <w:numFmt w:val="lowerRoman"/>
      <w:lvlText w:val="%3."/>
      <w:lvlJc w:val="right"/>
      <w:pPr>
        <w:tabs>
          <w:tab w:val="num" w:pos="1823"/>
        </w:tabs>
        <w:ind w:left="1823" w:hanging="180"/>
      </w:pPr>
    </w:lvl>
    <w:lvl w:ilvl="3">
      <w:start w:val="1"/>
      <w:numFmt w:val="decimal"/>
      <w:lvlText w:val="%4."/>
      <w:lvlJc w:val="left"/>
      <w:pPr>
        <w:tabs>
          <w:tab w:val="num" w:pos="2543"/>
        </w:tabs>
        <w:ind w:left="2543" w:hanging="360"/>
      </w:pPr>
    </w:lvl>
    <w:lvl w:ilvl="4">
      <w:start w:val="1"/>
      <w:numFmt w:val="lowerLetter"/>
      <w:lvlText w:val="%5."/>
      <w:lvlJc w:val="left"/>
      <w:pPr>
        <w:tabs>
          <w:tab w:val="num" w:pos="3263"/>
        </w:tabs>
        <w:ind w:left="3263" w:hanging="360"/>
      </w:pPr>
    </w:lvl>
    <w:lvl w:ilvl="5">
      <w:start w:val="1"/>
      <w:numFmt w:val="lowerRoman"/>
      <w:lvlText w:val="%6."/>
      <w:lvlJc w:val="right"/>
      <w:pPr>
        <w:tabs>
          <w:tab w:val="num" w:pos="3983"/>
        </w:tabs>
        <w:ind w:left="3983" w:hanging="180"/>
      </w:pPr>
    </w:lvl>
    <w:lvl w:ilvl="6">
      <w:start w:val="1"/>
      <w:numFmt w:val="decimal"/>
      <w:lvlText w:val="%7."/>
      <w:lvlJc w:val="left"/>
      <w:pPr>
        <w:tabs>
          <w:tab w:val="num" w:pos="4703"/>
        </w:tabs>
        <w:ind w:left="4703" w:hanging="360"/>
      </w:pPr>
    </w:lvl>
    <w:lvl w:ilvl="7">
      <w:start w:val="1"/>
      <w:numFmt w:val="lowerLetter"/>
      <w:lvlText w:val="%8."/>
      <w:lvlJc w:val="left"/>
      <w:pPr>
        <w:tabs>
          <w:tab w:val="num" w:pos="5423"/>
        </w:tabs>
        <w:ind w:left="5423" w:hanging="360"/>
      </w:pPr>
    </w:lvl>
    <w:lvl w:ilvl="8">
      <w:start w:val="1"/>
      <w:numFmt w:val="lowerRoman"/>
      <w:lvlText w:val="%9."/>
      <w:lvlJc w:val="right"/>
      <w:pPr>
        <w:tabs>
          <w:tab w:val="num" w:pos="6143"/>
        </w:tabs>
        <w:ind w:left="6143" w:hanging="180"/>
      </w:pPr>
    </w:lvl>
  </w:abstractNum>
  <w:abstractNum w:abstractNumId="27" w15:restartNumberingAfterBreak="0">
    <w:nsid w:val="51A15FFB"/>
    <w:multiLevelType w:val="hybridMultilevel"/>
    <w:tmpl w:val="D1FE9374"/>
    <w:lvl w:ilvl="0" w:tplc="0AD014EA">
      <w:start w:val="1"/>
      <w:numFmt w:val="bullet"/>
      <w:lvlText w:val=""/>
      <w:lvlJc w:val="left"/>
      <w:pPr>
        <w:tabs>
          <w:tab w:val="num" w:pos="899"/>
        </w:tabs>
        <w:ind w:left="899"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5C45CE"/>
    <w:multiLevelType w:val="hybridMultilevel"/>
    <w:tmpl w:val="20361166"/>
    <w:lvl w:ilvl="0" w:tplc="FFFFFFFF">
      <w:start w:val="2"/>
      <w:numFmt w:val="lowerLetter"/>
      <w:lvlText w:val="%1."/>
      <w:lvlJc w:val="left"/>
      <w:pPr>
        <w:tabs>
          <w:tab w:val="num" w:pos="383"/>
        </w:tabs>
        <w:ind w:left="383" w:hanging="360"/>
      </w:pPr>
      <w:rPr>
        <w:rFonts w:hint="default"/>
      </w:rPr>
    </w:lvl>
    <w:lvl w:ilvl="1" w:tplc="FFFFFFFF">
      <w:start w:val="1"/>
      <w:numFmt w:val="bullet"/>
      <w:lvlText w:val=""/>
      <w:lvlJc w:val="left"/>
      <w:pPr>
        <w:tabs>
          <w:tab w:val="num" w:pos="1103"/>
        </w:tabs>
        <w:ind w:left="1103" w:hanging="360"/>
      </w:pPr>
      <w:rPr>
        <w:rFonts w:ascii="Symbol" w:hAnsi="Symbol" w:hint="default"/>
      </w:rPr>
    </w:lvl>
    <w:lvl w:ilvl="2" w:tplc="FFFFFFFF">
      <w:start w:val="1"/>
      <w:numFmt w:val="lowerRoman"/>
      <w:lvlText w:val="%3."/>
      <w:lvlJc w:val="right"/>
      <w:pPr>
        <w:tabs>
          <w:tab w:val="num" w:pos="1823"/>
        </w:tabs>
        <w:ind w:left="1823" w:hanging="180"/>
      </w:pPr>
    </w:lvl>
    <w:lvl w:ilvl="3" w:tplc="FFFFFFFF" w:tentative="1">
      <w:start w:val="1"/>
      <w:numFmt w:val="decimal"/>
      <w:lvlText w:val="%4."/>
      <w:lvlJc w:val="left"/>
      <w:pPr>
        <w:tabs>
          <w:tab w:val="num" w:pos="2543"/>
        </w:tabs>
        <w:ind w:left="2543" w:hanging="360"/>
      </w:pPr>
    </w:lvl>
    <w:lvl w:ilvl="4" w:tplc="FFFFFFFF" w:tentative="1">
      <w:start w:val="1"/>
      <w:numFmt w:val="lowerLetter"/>
      <w:lvlText w:val="%5."/>
      <w:lvlJc w:val="left"/>
      <w:pPr>
        <w:tabs>
          <w:tab w:val="num" w:pos="3263"/>
        </w:tabs>
        <w:ind w:left="3263" w:hanging="360"/>
      </w:pPr>
    </w:lvl>
    <w:lvl w:ilvl="5" w:tplc="FFFFFFFF" w:tentative="1">
      <w:start w:val="1"/>
      <w:numFmt w:val="lowerRoman"/>
      <w:lvlText w:val="%6."/>
      <w:lvlJc w:val="right"/>
      <w:pPr>
        <w:tabs>
          <w:tab w:val="num" w:pos="3983"/>
        </w:tabs>
        <w:ind w:left="3983" w:hanging="180"/>
      </w:pPr>
    </w:lvl>
    <w:lvl w:ilvl="6" w:tplc="FFFFFFFF" w:tentative="1">
      <w:start w:val="1"/>
      <w:numFmt w:val="decimal"/>
      <w:lvlText w:val="%7."/>
      <w:lvlJc w:val="left"/>
      <w:pPr>
        <w:tabs>
          <w:tab w:val="num" w:pos="4703"/>
        </w:tabs>
        <w:ind w:left="4703" w:hanging="360"/>
      </w:pPr>
    </w:lvl>
    <w:lvl w:ilvl="7" w:tplc="FFFFFFFF" w:tentative="1">
      <w:start w:val="1"/>
      <w:numFmt w:val="lowerLetter"/>
      <w:lvlText w:val="%8."/>
      <w:lvlJc w:val="left"/>
      <w:pPr>
        <w:tabs>
          <w:tab w:val="num" w:pos="5423"/>
        </w:tabs>
        <w:ind w:left="5423" w:hanging="360"/>
      </w:pPr>
    </w:lvl>
    <w:lvl w:ilvl="8" w:tplc="FFFFFFFF" w:tentative="1">
      <w:start w:val="1"/>
      <w:numFmt w:val="lowerRoman"/>
      <w:lvlText w:val="%9."/>
      <w:lvlJc w:val="right"/>
      <w:pPr>
        <w:tabs>
          <w:tab w:val="num" w:pos="6143"/>
        </w:tabs>
        <w:ind w:left="6143" w:hanging="180"/>
      </w:pPr>
    </w:lvl>
  </w:abstractNum>
  <w:abstractNum w:abstractNumId="29" w15:restartNumberingAfterBreak="0">
    <w:nsid w:val="5D9020B1"/>
    <w:multiLevelType w:val="hybridMultilevel"/>
    <w:tmpl w:val="D81EAB00"/>
    <w:lvl w:ilvl="0" w:tplc="34FE7EFC">
      <w:start w:val="1"/>
      <w:numFmt w:val="decimal"/>
      <w:lvlText w:val="%1."/>
      <w:lvlJc w:val="left"/>
      <w:pPr>
        <w:tabs>
          <w:tab w:val="num" w:pos="720"/>
        </w:tabs>
        <w:ind w:left="720" w:hanging="720"/>
      </w:pPr>
      <w:rPr>
        <w:rFonts w:ascii="Times New Roman" w:hAnsi="Times New Roman" w:hint="default"/>
        <w:b/>
        <w:i w:val="0"/>
        <w:color w:val="000080"/>
        <w:sz w:val="24"/>
      </w:rPr>
    </w:lvl>
    <w:lvl w:ilvl="1" w:tplc="F588F0B0">
      <w:start w:val="1"/>
      <w:numFmt w:val="lowerLetter"/>
      <w:lvlText w:val="%2)"/>
      <w:lvlJc w:val="left"/>
      <w:pPr>
        <w:tabs>
          <w:tab w:val="num" w:pos="1080"/>
        </w:tabs>
        <w:ind w:left="1077" w:hanging="357"/>
      </w:pPr>
      <w:rPr>
        <w:rFonts w:hint="default"/>
        <w:b/>
        <w:i w:val="0"/>
        <w:color w:val="00008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E600A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0E91A8C"/>
    <w:multiLevelType w:val="hybridMultilevel"/>
    <w:tmpl w:val="4208A1C2"/>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32" w15:restartNumberingAfterBreak="0">
    <w:nsid w:val="65F649FC"/>
    <w:multiLevelType w:val="hybridMultilevel"/>
    <w:tmpl w:val="03AE9094"/>
    <w:lvl w:ilvl="0" w:tplc="26A85DBE">
      <w:start w:val="1"/>
      <w:numFmt w:val="bullet"/>
      <w:lvlText w:val=""/>
      <w:lvlJc w:val="left"/>
      <w:pPr>
        <w:ind w:left="720" w:hanging="360"/>
      </w:pPr>
      <w:rPr>
        <w:rFonts w:ascii="Symbol" w:hAnsi="Symbol" w:hint="default"/>
      </w:rPr>
    </w:lvl>
    <w:lvl w:ilvl="1" w:tplc="C6C05FAC">
      <w:start w:val="1"/>
      <w:numFmt w:val="bullet"/>
      <w:lvlText w:val="o"/>
      <w:lvlJc w:val="left"/>
      <w:pPr>
        <w:ind w:left="1440" w:hanging="360"/>
      </w:pPr>
      <w:rPr>
        <w:rFonts w:ascii="Courier New" w:hAnsi="Courier New" w:hint="default"/>
      </w:rPr>
    </w:lvl>
    <w:lvl w:ilvl="2" w:tplc="BC9C4C9E">
      <w:start w:val="1"/>
      <w:numFmt w:val="bullet"/>
      <w:lvlText w:val=""/>
      <w:lvlJc w:val="left"/>
      <w:pPr>
        <w:ind w:left="2160" w:hanging="360"/>
      </w:pPr>
      <w:rPr>
        <w:rFonts w:ascii="Wingdings" w:hAnsi="Wingdings" w:hint="default"/>
      </w:rPr>
    </w:lvl>
    <w:lvl w:ilvl="3" w:tplc="A48074F2">
      <w:start w:val="1"/>
      <w:numFmt w:val="bullet"/>
      <w:lvlText w:val=""/>
      <w:lvlJc w:val="left"/>
      <w:pPr>
        <w:ind w:left="2880" w:hanging="360"/>
      </w:pPr>
      <w:rPr>
        <w:rFonts w:ascii="Symbol" w:hAnsi="Symbol" w:hint="default"/>
      </w:rPr>
    </w:lvl>
    <w:lvl w:ilvl="4" w:tplc="FE0A8C70">
      <w:start w:val="1"/>
      <w:numFmt w:val="bullet"/>
      <w:lvlText w:val="o"/>
      <w:lvlJc w:val="left"/>
      <w:pPr>
        <w:ind w:left="3600" w:hanging="360"/>
      </w:pPr>
      <w:rPr>
        <w:rFonts w:ascii="Courier New" w:hAnsi="Courier New" w:hint="default"/>
      </w:rPr>
    </w:lvl>
    <w:lvl w:ilvl="5" w:tplc="0C989188">
      <w:start w:val="1"/>
      <w:numFmt w:val="bullet"/>
      <w:lvlText w:val=""/>
      <w:lvlJc w:val="left"/>
      <w:pPr>
        <w:ind w:left="4320" w:hanging="360"/>
      </w:pPr>
      <w:rPr>
        <w:rFonts w:ascii="Wingdings" w:hAnsi="Wingdings" w:hint="default"/>
      </w:rPr>
    </w:lvl>
    <w:lvl w:ilvl="6" w:tplc="9B0ED812">
      <w:start w:val="1"/>
      <w:numFmt w:val="bullet"/>
      <w:lvlText w:val=""/>
      <w:lvlJc w:val="left"/>
      <w:pPr>
        <w:ind w:left="5040" w:hanging="360"/>
      </w:pPr>
      <w:rPr>
        <w:rFonts w:ascii="Symbol" w:hAnsi="Symbol" w:hint="default"/>
      </w:rPr>
    </w:lvl>
    <w:lvl w:ilvl="7" w:tplc="D28609E6">
      <w:start w:val="1"/>
      <w:numFmt w:val="bullet"/>
      <w:lvlText w:val="o"/>
      <w:lvlJc w:val="left"/>
      <w:pPr>
        <w:ind w:left="5760" w:hanging="360"/>
      </w:pPr>
      <w:rPr>
        <w:rFonts w:ascii="Courier New" w:hAnsi="Courier New" w:hint="default"/>
      </w:rPr>
    </w:lvl>
    <w:lvl w:ilvl="8" w:tplc="241E1DB8">
      <w:start w:val="1"/>
      <w:numFmt w:val="bullet"/>
      <w:lvlText w:val=""/>
      <w:lvlJc w:val="left"/>
      <w:pPr>
        <w:ind w:left="6480" w:hanging="360"/>
      </w:pPr>
      <w:rPr>
        <w:rFonts w:ascii="Wingdings" w:hAnsi="Wingdings" w:hint="default"/>
      </w:rPr>
    </w:lvl>
  </w:abstractNum>
  <w:abstractNum w:abstractNumId="33" w15:restartNumberingAfterBreak="0">
    <w:nsid w:val="66FE6D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9A07F77"/>
    <w:multiLevelType w:val="singleLevel"/>
    <w:tmpl w:val="7D4C68E0"/>
    <w:lvl w:ilvl="0">
      <w:start w:val="10"/>
      <w:numFmt w:val="decimal"/>
      <w:lvlText w:val="%1."/>
      <w:lvlJc w:val="left"/>
      <w:pPr>
        <w:tabs>
          <w:tab w:val="num" w:pos="540"/>
        </w:tabs>
        <w:ind w:left="540" w:hanging="540"/>
      </w:pPr>
      <w:rPr>
        <w:rFonts w:hint="default"/>
      </w:rPr>
    </w:lvl>
  </w:abstractNum>
  <w:abstractNum w:abstractNumId="35" w15:restartNumberingAfterBreak="0">
    <w:nsid w:val="6C6B108A"/>
    <w:multiLevelType w:val="hybridMultilevel"/>
    <w:tmpl w:val="7DACC9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D010BD2"/>
    <w:multiLevelType w:val="hybridMultilevel"/>
    <w:tmpl w:val="4420E6FE"/>
    <w:lvl w:ilvl="0" w:tplc="F0E8B700">
      <w:start w:val="1"/>
      <w:numFmt w:val="bullet"/>
      <w:lvlText w:val="o"/>
      <w:lvlJc w:val="left"/>
      <w:pPr>
        <w:tabs>
          <w:tab w:val="num" w:pos="360"/>
        </w:tabs>
        <w:ind w:left="360" w:hanging="360"/>
      </w:pPr>
      <w:rPr>
        <w:rFonts w:ascii="Courier New" w:hAnsi="Courier New" w:hint="default"/>
        <w:color w:val="000080"/>
      </w:rPr>
    </w:lvl>
    <w:lvl w:ilvl="1" w:tplc="04090003" w:tentative="1">
      <w:start w:val="1"/>
      <w:numFmt w:val="bullet"/>
      <w:lvlText w:val="o"/>
      <w:lvlJc w:val="left"/>
      <w:pPr>
        <w:tabs>
          <w:tab w:val="num" w:pos="901"/>
        </w:tabs>
        <w:ind w:left="901" w:hanging="360"/>
      </w:pPr>
      <w:rPr>
        <w:rFonts w:ascii="Courier New" w:hAnsi="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37" w15:restartNumberingAfterBreak="0">
    <w:nsid w:val="783D01FD"/>
    <w:multiLevelType w:val="hybridMultilevel"/>
    <w:tmpl w:val="F4DAE62E"/>
    <w:lvl w:ilvl="0" w:tplc="F0E8B700">
      <w:start w:val="1"/>
      <w:numFmt w:val="bullet"/>
      <w:lvlText w:val="o"/>
      <w:lvlJc w:val="left"/>
      <w:pPr>
        <w:tabs>
          <w:tab w:val="num" w:pos="360"/>
        </w:tabs>
        <w:ind w:left="360" w:hanging="360"/>
      </w:pPr>
      <w:rPr>
        <w:rFonts w:ascii="Courier New" w:hAnsi="Courier New" w:hint="default"/>
        <w:color w:val="000080"/>
      </w:rPr>
    </w:lvl>
    <w:lvl w:ilvl="1" w:tplc="04090003" w:tentative="1">
      <w:start w:val="1"/>
      <w:numFmt w:val="bullet"/>
      <w:lvlText w:val="o"/>
      <w:lvlJc w:val="left"/>
      <w:pPr>
        <w:tabs>
          <w:tab w:val="num" w:pos="901"/>
        </w:tabs>
        <w:ind w:left="901" w:hanging="360"/>
      </w:pPr>
      <w:rPr>
        <w:rFonts w:ascii="Courier New" w:hAnsi="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38" w15:restartNumberingAfterBreak="0">
    <w:nsid w:val="7AED16EF"/>
    <w:multiLevelType w:val="hybridMultilevel"/>
    <w:tmpl w:val="D1FE9374"/>
    <w:lvl w:ilvl="0" w:tplc="D89ECF4A">
      <w:start w:val="1"/>
      <w:numFmt w:val="bullet"/>
      <w:lvlText w:val=""/>
      <w:lvlJc w:val="left"/>
      <w:pPr>
        <w:tabs>
          <w:tab w:val="num" w:pos="899"/>
        </w:tabs>
        <w:ind w:left="899" w:hanging="899"/>
      </w:pPr>
      <w:rPr>
        <w:rFonts w:ascii="Symbol" w:hAnsi="Symbol"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7E5B14"/>
    <w:multiLevelType w:val="multilevel"/>
    <w:tmpl w:val="248C847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FCC006A"/>
    <w:multiLevelType w:val="hybridMultilevel"/>
    <w:tmpl w:val="344CD29A"/>
    <w:lvl w:ilvl="0" w:tplc="EC680502">
      <w:start w:val="1"/>
      <w:numFmt w:val="bullet"/>
      <w:lvlText w:val=""/>
      <w:lvlJc w:val="left"/>
      <w:pPr>
        <w:tabs>
          <w:tab w:val="num" w:pos="360"/>
        </w:tabs>
        <w:ind w:left="360" w:hanging="360"/>
      </w:pPr>
      <w:rPr>
        <w:rFonts w:ascii="Symbol" w:hAnsi="Symbol" w:hint="default"/>
        <w:color w:val="00008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2"/>
  </w:num>
  <w:num w:numId="3">
    <w:abstractNumId w:val="13"/>
  </w:num>
  <w:num w:numId="4">
    <w:abstractNumId w:val="14"/>
  </w:num>
  <w:num w:numId="5">
    <w:abstractNumId w:val="0"/>
  </w:num>
  <w:num w:numId="6">
    <w:abstractNumId w:val="20"/>
  </w:num>
  <w:num w:numId="7">
    <w:abstractNumId w:val="17"/>
  </w:num>
  <w:num w:numId="8">
    <w:abstractNumId w:val="16"/>
  </w:num>
  <w:num w:numId="9">
    <w:abstractNumId w:val="34"/>
  </w:num>
  <w:num w:numId="10">
    <w:abstractNumId w:val="33"/>
  </w:num>
  <w:num w:numId="11">
    <w:abstractNumId w:val="23"/>
  </w:num>
  <w:num w:numId="12">
    <w:abstractNumId w:val="25"/>
  </w:num>
  <w:num w:numId="13">
    <w:abstractNumId w:val="12"/>
  </w:num>
  <w:num w:numId="14">
    <w:abstractNumId w:val="30"/>
  </w:num>
  <w:num w:numId="15">
    <w:abstractNumId w:val="4"/>
  </w:num>
  <w:num w:numId="16">
    <w:abstractNumId w:val="39"/>
  </w:num>
  <w:num w:numId="17">
    <w:abstractNumId w:val="28"/>
  </w:num>
  <w:num w:numId="18">
    <w:abstractNumId w:val="22"/>
  </w:num>
  <w:num w:numId="19">
    <w:abstractNumId w:val="15"/>
  </w:num>
  <w:num w:numId="20">
    <w:abstractNumId w:val="6"/>
  </w:num>
  <w:num w:numId="21">
    <w:abstractNumId w:val="29"/>
  </w:num>
  <w:num w:numId="22">
    <w:abstractNumId w:val="9"/>
  </w:num>
  <w:num w:numId="23">
    <w:abstractNumId w:val="29"/>
    <w:lvlOverride w:ilvl="0">
      <w:startOverride w:val="1"/>
    </w:lvlOverride>
  </w:num>
  <w:num w:numId="24">
    <w:abstractNumId w:val="35"/>
  </w:num>
  <w:num w:numId="25">
    <w:abstractNumId w:val="37"/>
  </w:num>
  <w:num w:numId="26">
    <w:abstractNumId w:val="2"/>
  </w:num>
  <w:num w:numId="27">
    <w:abstractNumId w:val="5"/>
  </w:num>
  <w:num w:numId="28">
    <w:abstractNumId w:val="36"/>
  </w:num>
  <w:num w:numId="29">
    <w:abstractNumId w:val="10"/>
  </w:num>
  <w:num w:numId="30">
    <w:abstractNumId w:val="24"/>
  </w:num>
  <w:num w:numId="31">
    <w:abstractNumId w:val="27"/>
  </w:num>
  <w:num w:numId="32">
    <w:abstractNumId w:val="7"/>
  </w:num>
  <w:num w:numId="33">
    <w:abstractNumId w:val="38"/>
  </w:num>
  <w:num w:numId="34">
    <w:abstractNumId w:val="19"/>
  </w:num>
  <w:num w:numId="35">
    <w:abstractNumId w:val="8"/>
  </w:num>
  <w:num w:numId="36">
    <w:abstractNumId w:val="40"/>
  </w:num>
  <w:num w:numId="37">
    <w:abstractNumId w:val="1"/>
  </w:num>
  <w:num w:numId="38">
    <w:abstractNumId w:val="26"/>
  </w:num>
  <w:num w:numId="39">
    <w:abstractNumId w:val="11"/>
  </w:num>
  <w:num w:numId="40">
    <w:abstractNumId w:val="31"/>
  </w:num>
  <w:num w:numId="41">
    <w:abstractNumId w:val="18"/>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04"/>
    <w:rsid w:val="00003DBC"/>
    <w:rsid w:val="00006392"/>
    <w:rsid w:val="000409E2"/>
    <w:rsid w:val="00075690"/>
    <w:rsid w:val="000878E0"/>
    <w:rsid w:val="000E7BB5"/>
    <w:rsid w:val="000F3CFB"/>
    <w:rsid w:val="0011296E"/>
    <w:rsid w:val="00141328"/>
    <w:rsid w:val="00191B80"/>
    <w:rsid w:val="001B1207"/>
    <w:rsid w:val="001B4428"/>
    <w:rsid w:val="001E2DFE"/>
    <w:rsid w:val="002019C7"/>
    <w:rsid w:val="00201FC3"/>
    <w:rsid w:val="0022225C"/>
    <w:rsid w:val="0024424D"/>
    <w:rsid w:val="00251A12"/>
    <w:rsid w:val="002533F5"/>
    <w:rsid w:val="002665AE"/>
    <w:rsid w:val="0027575B"/>
    <w:rsid w:val="002B22DC"/>
    <w:rsid w:val="002D3D15"/>
    <w:rsid w:val="002F564F"/>
    <w:rsid w:val="00307E53"/>
    <w:rsid w:val="0035492F"/>
    <w:rsid w:val="00362C37"/>
    <w:rsid w:val="00365E77"/>
    <w:rsid w:val="0038721C"/>
    <w:rsid w:val="003C1CB6"/>
    <w:rsid w:val="00402269"/>
    <w:rsid w:val="00413858"/>
    <w:rsid w:val="0041483B"/>
    <w:rsid w:val="00446EEB"/>
    <w:rsid w:val="00457DA3"/>
    <w:rsid w:val="004632DF"/>
    <w:rsid w:val="00467660"/>
    <w:rsid w:val="004B4E18"/>
    <w:rsid w:val="004F42E0"/>
    <w:rsid w:val="005254B9"/>
    <w:rsid w:val="00527BF4"/>
    <w:rsid w:val="00557E33"/>
    <w:rsid w:val="00560C39"/>
    <w:rsid w:val="00587D58"/>
    <w:rsid w:val="005B493D"/>
    <w:rsid w:val="005E5651"/>
    <w:rsid w:val="005E59E3"/>
    <w:rsid w:val="005F241B"/>
    <w:rsid w:val="0060692A"/>
    <w:rsid w:val="006262EC"/>
    <w:rsid w:val="006316AC"/>
    <w:rsid w:val="0064379C"/>
    <w:rsid w:val="00655173"/>
    <w:rsid w:val="006752C4"/>
    <w:rsid w:val="006A363E"/>
    <w:rsid w:val="006A458F"/>
    <w:rsid w:val="006C6B36"/>
    <w:rsid w:val="006D267D"/>
    <w:rsid w:val="006E7111"/>
    <w:rsid w:val="00702EAB"/>
    <w:rsid w:val="007051F1"/>
    <w:rsid w:val="00715817"/>
    <w:rsid w:val="0073208C"/>
    <w:rsid w:val="007452F4"/>
    <w:rsid w:val="0075415D"/>
    <w:rsid w:val="00754E0E"/>
    <w:rsid w:val="0077223A"/>
    <w:rsid w:val="00773BE5"/>
    <w:rsid w:val="00787E3A"/>
    <w:rsid w:val="007F0236"/>
    <w:rsid w:val="007F03A5"/>
    <w:rsid w:val="00800953"/>
    <w:rsid w:val="008414DA"/>
    <w:rsid w:val="00860EFE"/>
    <w:rsid w:val="008635FD"/>
    <w:rsid w:val="008846F0"/>
    <w:rsid w:val="00893BED"/>
    <w:rsid w:val="008B0B12"/>
    <w:rsid w:val="008F36F5"/>
    <w:rsid w:val="00917B93"/>
    <w:rsid w:val="0092067A"/>
    <w:rsid w:val="00942635"/>
    <w:rsid w:val="00957F1B"/>
    <w:rsid w:val="00962491"/>
    <w:rsid w:val="00987A04"/>
    <w:rsid w:val="00990C78"/>
    <w:rsid w:val="009C4293"/>
    <w:rsid w:val="009C76A6"/>
    <w:rsid w:val="00A24D69"/>
    <w:rsid w:val="00A30E1A"/>
    <w:rsid w:val="00A32D38"/>
    <w:rsid w:val="00A37A35"/>
    <w:rsid w:val="00A55F59"/>
    <w:rsid w:val="00A66897"/>
    <w:rsid w:val="00A81056"/>
    <w:rsid w:val="00AF727F"/>
    <w:rsid w:val="00B21CF5"/>
    <w:rsid w:val="00B327CF"/>
    <w:rsid w:val="00B440EE"/>
    <w:rsid w:val="00B5469D"/>
    <w:rsid w:val="00B662DF"/>
    <w:rsid w:val="00B8798F"/>
    <w:rsid w:val="00BA5F12"/>
    <w:rsid w:val="00BD0975"/>
    <w:rsid w:val="00C37FAC"/>
    <w:rsid w:val="00C53F66"/>
    <w:rsid w:val="00C61605"/>
    <w:rsid w:val="00C72CB7"/>
    <w:rsid w:val="00C876FA"/>
    <w:rsid w:val="00C91C94"/>
    <w:rsid w:val="00CD6775"/>
    <w:rsid w:val="00D1202E"/>
    <w:rsid w:val="00D40026"/>
    <w:rsid w:val="00D5375B"/>
    <w:rsid w:val="00D555E4"/>
    <w:rsid w:val="00D67075"/>
    <w:rsid w:val="00D8464B"/>
    <w:rsid w:val="00DA7CB7"/>
    <w:rsid w:val="00E12EB0"/>
    <w:rsid w:val="00E25295"/>
    <w:rsid w:val="00E467FA"/>
    <w:rsid w:val="00E622EA"/>
    <w:rsid w:val="00E7251B"/>
    <w:rsid w:val="00EA3D6F"/>
    <w:rsid w:val="00EC76EE"/>
    <w:rsid w:val="00ED5A52"/>
    <w:rsid w:val="00EE1183"/>
    <w:rsid w:val="00EE7A78"/>
    <w:rsid w:val="00EF2154"/>
    <w:rsid w:val="00EF502D"/>
    <w:rsid w:val="00F06647"/>
    <w:rsid w:val="00F308DD"/>
    <w:rsid w:val="00F34CE2"/>
    <w:rsid w:val="00F9485B"/>
    <w:rsid w:val="00FF0F7E"/>
    <w:rsid w:val="06930B9C"/>
    <w:rsid w:val="152624D1"/>
    <w:rsid w:val="19B42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4A173C42"/>
  <w14:defaultImageDpi w14:val="300"/>
  <w15:chartTrackingRefBased/>
  <w15:docId w15:val="{F45AB3D3-0BEA-43CB-AD0A-E746A3BA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spacing w:before="120" w:after="120"/>
      <w:jc w:val="both"/>
    </w:pPr>
    <w:rPr>
      <w:color w:val="000080"/>
      <w:sz w:val="24"/>
      <w:szCs w:val="24"/>
      <w:lang w:eastAsia="en-US"/>
    </w:rPr>
  </w:style>
  <w:style w:type="paragraph" w:styleId="Heading1">
    <w:name w:val="heading 1"/>
    <w:basedOn w:val="Normal"/>
    <w:next w:val="Normal"/>
    <w:qFormat/>
    <w:pPr>
      <w:numPr>
        <w:numId w:val="37"/>
      </w:numPr>
      <w:autoSpaceDE w:val="0"/>
      <w:autoSpaceDN w:val="0"/>
      <w:adjustRightInd w:val="0"/>
      <w:outlineLvl w:val="0"/>
    </w:pPr>
    <w:rPr>
      <w:b/>
      <w:lang w:eastAsia="en-GB"/>
    </w:rPr>
  </w:style>
  <w:style w:type="paragraph" w:styleId="Heading2">
    <w:name w:val="heading 2"/>
    <w:basedOn w:val="Normal"/>
    <w:next w:val="Normal"/>
    <w:qFormat/>
    <w:pPr>
      <w:numPr>
        <w:ilvl w:val="1"/>
        <w:numId w:val="37"/>
      </w:numPr>
      <w:outlineLvl w:val="1"/>
    </w:pPr>
    <w:rPr>
      <w:b/>
    </w:rPr>
  </w:style>
  <w:style w:type="paragraph" w:styleId="Heading3">
    <w:name w:val="heading 3"/>
    <w:basedOn w:val="Normal"/>
    <w:next w:val="Normal"/>
    <w:qFormat/>
    <w:pPr>
      <w:keepNext/>
      <w:numPr>
        <w:ilvl w:val="2"/>
        <w:numId w:val="37"/>
      </w:numPr>
      <w:autoSpaceDE w:val="0"/>
      <w:autoSpaceDN w:val="0"/>
      <w:adjustRightInd w:val="0"/>
      <w:outlineLvl w:val="2"/>
    </w:pPr>
    <w:rPr>
      <w:i/>
      <w:lang w:val="en-US"/>
    </w:rPr>
  </w:style>
  <w:style w:type="paragraph" w:styleId="Heading4">
    <w:name w:val="heading 4"/>
    <w:basedOn w:val="Normal"/>
    <w:next w:val="Normal"/>
    <w:qFormat/>
    <w:pPr>
      <w:keepNext/>
      <w:numPr>
        <w:ilvl w:val="3"/>
        <w:numId w:val="37"/>
      </w:numPr>
      <w:autoSpaceDE w:val="0"/>
      <w:autoSpaceDN w:val="0"/>
      <w:adjustRightInd w:val="0"/>
      <w:outlineLvl w:val="3"/>
    </w:pPr>
    <w:rPr>
      <w:rFonts w:ascii="OBODCI+TimesNewRoman,Bold" w:hAnsi="OBODCI+TimesNewRoman,Bold"/>
      <w:i/>
      <w:color w:val="000000"/>
      <w:u w:val="single"/>
      <w:lang w:val="en-US"/>
    </w:rPr>
  </w:style>
  <w:style w:type="paragraph" w:styleId="Heading5">
    <w:name w:val="heading 5"/>
    <w:basedOn w:val="Normal"/>
    <w:next w:val="Normal"/>
    <w:qFormat/>
    <w:pPr>
      <w:keepNext/>
      <w:numPr>
        <w:ilvl w:val="4"/>
        <w:numId w:val="37"/>
      </w:numPr>
      <w:autoSpaceDE w:val="0"/>
      <w:autoSpaceDN w:val="0"/>
      <w:adjustRightInd w:val="0"/>
      <w:outlineLvl w:val="4"/>
    </w:pPr>
    <w:rPr>
      <w:b/>
      <w:sz w:val="28"/>
      <w:u w:val="single"/>
      <w:lang w:val="en-US"/>
    </w:rPr>
  </w:style>
  <w:style w:type="paragraph" w:styleId="Heading6">
    <w:name w:val="heading 6"/>
    <w:basedOn w:val="Normal"/>
    <w:next w:val="Normal"/>
    <w:qFormat/>
    <w:pPr>
      <w:numPr>
        <w:ilvl w:val="5"/>
        <w:numId w:val="37"/>
      </w:numPr>
      <w:spacing w:before="240" w:after="60"/>
      <w:outlineLvl w:val="5"/>
    </w:pPr>
    <w:rPr>
      <w:b/>
      <w:bCs/>
      <w:sz w:val="22"/>
      <w:szCs w:val="22"/>
      <w:lang w:val="en-US"/>
    </w:rPr>
  </w:style>
  <w:style w:type="paragraph" w:styleId="Heading7">
    <w:name w:val="heading 7"/>
    <w:basedOn w:val="Normal"/>
    <w:next w:val="Normal"/>
    <w:qFormat/>
    <w:pPr>
      <w:numPr>
        <w:ilvl w:val="6"/>
        <w:numId w:val="37"/>
      </w:numPr>
      <w:spacing w:before="240" w:after="60"/>
      <w:outlineLvl w:val="6"/>
    </w:pPr>
    <w:rPr>
      <w:lang w:val="en-US"/>
    </w:rPr>
  </w:style>
  <w:style w:type="paragraph" w:styleId="Heading8">
    <w:name w:val="heading 8"/>
    <w:basedOn w:val="Normal"/>
    <w:next w:val="Normal"/>
    <w:qFormat/>
    <w:pPr>
      <w:numPr>
        <w:ilvl w:val="7"/>
        <w:numId w:val="37"/>
      </w:numPr>
      <w:spacing w:before="240" w:after="60"/>
      <w:outlineLvl w:val="7"/>
    </w:pPr>
    <w:rPr>
      <w:i/>
      <w:iCs/>
      <w:lang w:val="en-US"/>
    </w:rPr>
  </w:style>
  <w:style w:type="paragraph" w:styleId="Heading9">
    <w:name w:val="heading 9"/>
    <w:basedOn w:val="Normal"/>
    <w:next w:val="Normal"/>
    <w:qFormat/>
    <w:pPr>
      <w:numPr>
        <w:ilvl w:val="8"/>
        <w:numId w:val="37"/>
      </w:num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before="0" w:after="0"/>
    </w:pPr>
    <w:rPr>
      <w:sz w:val="20"/>
    </w:rPr>
  </w:style>
  <w:style w:type="paragraph" w:styleId="Footer">
    <w:name w:val="footer"/>
    <w:basedOn w:val="Normal"/>
    <w:link w:val="FooterChar"/>
    <w:uiPriority w:val="99"/>
    <w:pPr>
      <w:tabs>
        <w:tab w:val="center" w:pos="4153"/>
        <w:tab w:val="right" w:pos="8306"/>
      </w:tabs>
      <w:spacing w:before="0" w:after="0"/>
    </w:pPr>
    <w:rPr>
      <w:sz w:val="20"/>
      <w:lang w:val="x-none" w:eastAsia="x-none"/>
    </w:rPr>
  </w:style>
  <w:style w:type="paragraph" w:styleId="BodyTextIndent">
    <w:name w:val="Body Text Indent"/>
    <w:basedOn w:val="Normal"/>
    <w:link w:val="BodyTextIndentChar"/>
    <w:pPr>
      <w:autoSpaceDE w:val="0"/>
      <w:autoSpaceDN w:val="0"/>
      <w:adjustRightInd w:val="0"/>
      <w:ind w:left="720"/>
    </w:pPr>
    <w:rPr>
      <w:lang w:eastAsia="en-GB"/>
    </w:rPr>
  </w:style>
  <w:style w:type="character" w:styleId="CommentReference">
    <w:name w:val="annotation reference"/>
    <w:semiHidden/>
    <w:rPr>
      <w:sz w:val="16"/>
      <w:szCs w:val="16"/>
    </w:rPr>
  </w:style>
  <w:style w:type="paragraph" w:customStyle="1" w:styleId="Level2">
    <w:name w:val="Level 2"/>
    <w:basedOn w:val="BodyTextIndent"/>
    <w:pPr>
      <w:ind w:left="1077"/>
    </w:pPr>
  </w:style>
  <w:style w:type="paragraph" w:styleId="CommentText">
    <w:name w:val="annotation text"/>
    <w:basedOn w:val="Normal"/>
    <w:link w:val="CommentTextChar"/>
    <w:semiHidden/>
    <w:rPr>
      <w:sz w:val="20"/>
      <w:szCs w:val="20"/>
    </w:rPr>
  </w:style>
  <w:style w:type="paragraph" w:customStyle="1" w:styleId="Default">
    <w:name w:val="Default"/>
    <w:pPr>
      <w:autoSpaceDE w:val="0"/>
      <w:autoSpaceDN w:val="0"/>
      <w:adjustRightInd w:val="0"/>
      <w:spacing w:before="120" w:after="120"/>
      <w:jc w:val="both"/>
    </w:pPr>
    <w:rPr>
      <w:color w:val="000080"/>
      <w:sz w:val="24"/>
      <w:szCs w:val="24"/>
    </w:rPr>
  </w:style>
  <w:style w:type="paragraph" w:styleId="Title">
    <w:name w:val="Title"/>
    <w:basedOn w:val="Normal"/>
    <w:qFormat/>
    <w:pPr>
      <w:autoSpaceDE w:val="0"/>
      <w:autoSpaceDN w:val="0"/>
      <w:adjustRightInd w:val="0"/>
      <w:spacing w:before="0" w:after="0"/>
      <w:jc w:val="center"/>
    </w:pPr>
    <w:rPr>
      <w:b/>
      <w:u w:val="singl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link w:val="BodyTextChar"/>
    <w:pPr>
      <w:autoSpaceDE w:val="0"/>
      <w:autoSpaceDN w:val="0"/>
      <w:adjustRightInd w:val="0"/>
    </w:pPr>
    <w:rPr>
      <w:b/>
      <w:bCs/>
      <w:lang w:val="en-US"/>
    </w:rPr>
  </w:style>
  <w:style w:type="character" w:customStyle="1" w:styleId="FooterChar">
    <w:name w:val="Footer Char"/>
    <w:link w:val="Footer"/>
    <w:uiPriority w:val="99"/>
    <w:rsid w:val="0037105D"/>
    <w:rPr>
      <w:color w:val="000080"/>
      <w:szCs w:val="24"/>
    </w:rPr>
  </w:style>
  <w:style w:type="paragraph" w:styleId="z-BottomofForm">
    <w:name w:val="HTML Bottom of Form"/>
    <w:basedOn w:val="Normal"/>
    <w:next w:val="Normal"/>
    <w:link w:val="z-BottomofFormChar"/>
    <w:hidden/>
    <w:rsid w:val="00613FEA"/>
    <w:pPr>
      <w:pBdr>
        <w:top w:val="single" w:sz="6" w:space="1" w:color="auto"/>
      </w:pBdr>
      <w:spacing w:before="0" w:after="0"/>
      <w:jc w:val="center"/>
    </w:pPr>
    <w:rPr>
      <w:rFonts w:ascii="Arial" w:hAnsi="Arial"/>
      <w:vanish/>
      <w:sz w:val="16"/>
      <w:szCs w:val="16"/>
      <w:lang w:val="x-none" w:eastAsia="x-none"/>
    </w:rPr>
  </w:style>
  <w:style w:type="character" w:customStyle="1" w:styleId="z-BottomofFormChar">
    <w:name w:val="z-Bottom of Form Char"/>
    <w:link w:val="z-BottomofForm"/>
    <w:rsid w:val="00613FEA"/>
    <w:rPr>
      <w:rFonts w:ascii="Arial" w:hAnsi="Arial" w:cs="Arial"/>
      <w:vanish/>
      <w:color w:val="000080"/>
      <w:sz w:val="16"/>
      <w:szCs w:val="16"/>
    </w:rPr>
  </w:style>
  <w:style w:type="paragraph" w:styleId="z-TopofForm">
    <w:name w:val="HTML Top of Form"/>
    <w:basedOn w:val="Normal"/>
    <w:next w:val="Normal"/>
    <w:link w:val="z-TopofFormChar"/>
    <w:hidden/>
    <w:rsid w:val="00613FEA"/>
    <w:pPr>
      <w:pBdr>
        <w:bottom w:val="single" w:sz="6" w:space="1" w:color="auto"/>
      </w:pBdr>
      <w:spacing w:before="0" w:after="0"/>
      <w:jc w:val="center"/>
    </w:pPr>
    <w:rPr>
      <w:rFonts w:ascii="Arial" w:hAnsi="Arial"/>
      <w:vanish/>
      <w:sz w:val="16"/>
      <w:szCs w:val="16"/>
      <w:lang w:val="x-none" w:eastAsia="x-none"/>
    </w:rPr>
  </w:style>
  <w:style w:type="character" w:customStyle="1" w:styleId="z-TopofFormChar">
    <w:name w:val="z-Top of Form Char"/>
    <w:link w:val="z-TopofForm"/>
    <w:rsid w:val="00613FEA"/>
    <w:rPr>
      <w:rFonts w:ascii="Arial" w:hAnsi="Arial" w:cs="Arial"/>
      <w:vanish/>
      <w:color w:val="000080"/>
      <w:sz w:val="16"/>
      <w:szCs w:val="16"/>
    </w:rPr>
  </w:style>
  <w:style w:type="paragraph" w:styleId="BalloonText">
    <w:name w:val="Balloon Text"/>
    <w:basedOn w:val="Normal"/>
    <w:link w:val="BalloonTextChar"/>
    <w:rsid w:val="00C75CAE"/>
    <w:pPr>
      <w:spacing w:before="0" w:after="0"/>
    </w:pPr>
    <w:rPr>
      <w:rFonts w:ascii="Lucida Grande" w:hAnsi="Lucida Grande"/>
      <w:sz w:val="18"/>
      <w:szCs w:val="18"/>
      <w:lang w:val="x-none" w:eastAsia="x-none"/>
    </w:rPr>
  </w:style>
  <w:style w:type="character" w:customStyle="1" w:styleId="BalloonTextChar">
    <w:name w:val="Balloon Text Char"/>
    <w:link w:val="BalloonText"/>
    <w:rsid w:val="00C75CAE"/>
    <w:rPr>
      <w:rFonts w:ascii="Lucida Grande" w:hAnsi="Lucida Grande" w:cs="Lucida Grande"/>
      <w:color w:val="000080"/>
      <w:sz w:val="18"/>
      <w:szCs w:val="18"/>
    </w:rPr>
  </w:style>
  <w:style w:type="paragraph" w:customStyle="1" w:styleId="TableHeading">
    <w:name w:val="Table Heading"/>
    <w:basedOn w:val="Normal"/>
    <w:rsid w:val="0092067A"/>
    <w:pPr>
      <w:spacing w:before="0" w:after="0"/>
      <w:ind w:left="113"/>
      <w:jc w:val="left"/>
    </w:pPr>
    <w:rPr>
      <w:rFonts w:ascii="Tahoma" w:hAnsi="Tahoma"/>
      <w:color w:val="008576"/>
      <w:sz w:val="20"/>
      <w:lang w:eastAsia="en-GB"/>
    </w:rPr>
  </w:style>
  <w:style w:type="paragraph" w:customStyle="1" w:styleId="Tablesubheading">
    <w:name w:val="Table subheading"/>
    <w:basedOn w:val="Normal"/>
    <w:rsid w:val="0092067A"/>
    <w:pPr>
      <w:spacing w:before="40" w:after="0"/>
      <w:ind w:left="113"/>
      <w:jc w:val="left"/>
    </w:pPr>
    <w:rPr>
      <w:rFonts w:ascii="Tahoma" w:hAnsi="Tahoma"/>
      <w:color w:val="auto"/>
      <w:sz w:val="20"/>
      <w:lang w:eastAsia="en-GB"/>
    </w:rPr>
  </w:style>
  <w:style w:type="paragraph" w:customStyle="1" w:styleId="Tablebodycopy">
    <w:name w:val="Table body copy"/>
    <w:basedOn w:val="Normal"/>
    <w:rsid w:val="0092067A"/>
    <w:pPr>
      <w:spacing w:before="40" w:after="0" w:line="300" w:lineRule="atLeast"/>
      <w:ind w:left="113"/>
      <w:jc w:val="left"/>
    </w:pPr>
    <w:rPr>
      <w:rFonts w:ascii="Tahoma" w:hAnsi="Tahoma"/>
      <w:color w:val="008576"/>
      <w:sz w:val="20"/>
      <w:lang w:eastAsia="en-GB"/>
    </w:rPr>
  </w:style>
  <w:style w:type="paragraph" w:customStyle="1" w:styleId="Heading04">
    <w:name w:val="Heading 04"/>
    <w:basedOn w:val="Normal"/>
    <w:next w:val="Normal"/>
    <w:qFormat/>
    <w:rsid w:val="001E2DFE"/>
    <w:pPr>
      <w:keepNext/>
      <w:shd w:val="clear" w:color="auto" w:fill="CCE0DA"/>
      <w:spacing w:before="0" w:after="0"/>
      <w:jc w:val="left"/>
      <w:outlineLvl w:val="0"/>
    </w:pPr>
    <w:rPr>
      <w:rFonts w:ascii="Arial" w:hAnsi="Arial" w:cs="Arial"/>
      <w:b/>
      <w:bCs/>
      <w:color w:val="008576"/>
      <w:kern w:val="32"/>
      <w:sz w:val="28"/>
      <w:szCs w:val="28"/>
      <w:lang w:eastAsia="en-GB"/>
    </w:rPr>
  </w:style>
  <w:style w:type="paragraph" w:customStyle="1" w:styleId="Heading02">
    <w:name w:val="Heading 02"/>
    <w:basedOn w:val="Normal"/>
    <w:next w:val="Normal"/>
    <w:qFormat/>
    <w:rsid w:val="008846F0"/>
    <w:pPr>
      <w:keepNext/>
      <w:pBdr>
        <w:top w:val="single" w:sz="24" w:space="1" w:color="CCE0DA"/>
        <w:left w:val="single" w:sz="24" w:space="4" w:color="CCE0DA"/>
        <w:bottom w:val="single" w:sz="24" w:space="1" w:color="CCE0DA"/>
        <w:right w:val="single" w:sz="24" w:space="4" w:color="CCE0DA"/>
      </w:pBdr>
      <w:shd w:val="clear" w:color="auto" w:fill="CCE0DA"/>
      <w:ind w:left="-142"/>
      <w:jc w:val="left"/>
      <w:outlineLvl w:val="0"/>
    </w:pPr>
    <w:rPr>
      <w:rFonts w:ascii="Arial" w:hAnsi="Arial" w:cs="Arial"/>
      <w:b/>
      <w:bCs/>
      <w:color w:val="008576"/>
      <w:kern w:val="32"/>
      <w:lang w:eastAsia="en-GB"/>
    </w:rPr>
  </w:style>
  <w:style w:type="character" w:customStyle="1" w:styleId="BodyTextChar">
    <w:name w:val="Body Text Char"/>
    <w:link w:val="BodyText"/>
    <w:rsid w:val="0022225C"/>
    <w:rPr>
      <w:b/>
      <w:bCs/>
      <w:color w:val="000080"/>
      <w:sz w:val="24"/>
      <w:szCs w:val="24"/>
      <w:lang w:val="en-US"/>
    </w:rPr>
  </w:style>
  <w:style w:type="character" w:customStyle="1" w:styleId="BodyTextIndentChar">
    <w:name w:val="Body Text Indent Char"/>
    <w:link w:val="BodyTextIndent"/>
    <w:rsid w:val="0022225C"/>
    <w:rPr>
      <w:color w:val="000080"/>
      <w:sz w:val="24"/>
      <w:szCs w:val="24"/>
      <w:lang w:eastAsia="en-GB"/>
    </w:rPr>
  </w:style>
  <w:style w:type="character" w:customStyle="1" w:styleId="CommentTextChar">
    <w:name w:val="Comment Text Char"/>
    <w:link w:val="CommentText"/>
    <w:semiHidden/>
    <w:rsid w:val="0022225C"/>
    <w:rPr>
      <w:color w:val="000080"/>
    </w:rPr>
  </w:style>
  <w:style w:type="character" w:styleId="Mention">
    <w:name w:val="Mention"/>
    <w:basedOn w:val="DefaultParagraphFont"/>
    <w:uiPriority w:val="99"/>
    <w:semiHidden/>
    <w:unhideWhenUsed/>
    <w:rsid w:val="007F03A5"/>
    <w:rPr>
      <w:color w:val="2B579A"/>
      <w:shd w:val="clear" w:color="auto" w:fill="E6E6E6"/>
    </w:rPr>
  </w:style>
  <w:style w:type="paragraph" w:styleId="ListParagraph">
    <w:name w:val="List Paragraph"/>
    <w:basedOn w:val="Normal"/>
    <w:uiPriority w:val="72"/>
    <w:qFormat/>
    <w:rsid w:val="0064379C"/>
    <w:pPr>
      <w:ind w:left="720"/>
      <w:contextualSpacing/>
    </w:pPr>
  </w:style>
  <w:style w:type="table" w:styleId="TableGrid">
    <w:name w:val="Table Grid"/>
    <w:basedOn w:val="TableNormal"/>
    <w:rsid w:val="00A24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x.transmissioncapacityandcharging@nationalgrid.com" TargetMode="External"/><Relationship Id="rId13" Type="http://schemas.openxmlformats.org/officeDocument/2006/relationships/hyperlink" Target="https://www.ofgem.gov.uk/system/files/docs/2019/04/decision_letter_unc67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asgovernance.co.uk/0678" TargetMode="External"/><Relationship Id="rId10" Type="http://schemas.openxmlformats.org/officeDocument/2006/relationships/hyperlink" Target="http://www.gasgovernance.co.uk/0678" TargetMode="External"/><Relationship Id="rId4" Type="http://schemas.openxmlformats.org/officeDocument/2006/relationships/settings" Target="settings.xml"/><Relationship Id="rId9" Type="http://schemas.openxmlformats.org/officeDocument/2006/relationships/hyperlink" Target="mailto:box.transmissioncapacityandcharging@nationalgrid.com" TargetMode="External"/><Relationship Id="rId14" Type="http://schemas.openxmlformats.org/officeDocument/2006/relationships/hyperlink" Target="http://eur-lex.europa.eu/legal-content/EN/TXT/HTML/?uri=CELEX:32017R0460&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Modification%20Proposal%20For%20Consultation%20Proforma.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BODCI+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CA7245"/>
    <w:rsid w:val="00CA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87DC1-74EE-4006-82E3-29704C64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Modification Proposal For Consultation Proforma</Template>
  <TotalTime>0</TotalTime>
  <Pages>7</Pages>
  <Words>1494</Words>
  <Characters>9164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Draft Modification Report</vt:lpstr>
    </vt:vector>
  </TitlesOfParts>
  <Company>Transco</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Modification Report</dc:title>
  <dc:subject/>
  <dc:creator>Williams, Colin</dc:creator>
  <cp:keywords/>
  <dc:description/>
  <cp:lastModifiedBy>Johnson, Laura</cp:lastModifiedBy>
  <cp:revision>2</cp:revision>
  <cp:lastPrinted>2011-03-22T14:39:00Z</cp:lastPrinted>
  <dcterms:created xsi:type="dcterms:W3CDTF">2019-05-02T09:32:00Z</dcterms:created>
  <dcterms:modified xsi:type="dcterms:W3CDTF">2019-05-02T09:32:00Z</dcterms:modified>
</cp:coreProperties>
</file>